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501" w:type="dxa"/>
        <w:tblInd w:w="0" w:type="dxa"/>
        <w:tblLayout w:type="fixed"/>
        <w:tblCellMar>
          <w:top w:w="0" w:type="dxa"/>
          <w:left w:w="10" w:type="dxa"/>
          <w:bottom w:w="0" w:type="dxa"/>
          <w:right w:w="10" w:type="dxa"/>
        </w:tblCellMar>
      </w:tblPr>
      <w:tblGrid>
        <w:gridCol w:w="1"/>
        <w:gridCol w:w="800"/>
        <w:gridCol w:w="1257"/>
        <w:gridCol w:w="743"/>
        <w:gridCol w:w="600"/>
        <w:gridCol w:w="200"/>
        <w:gridCol w:w="400"/>
        <w:gridCol w:w="20"/>
        <w:gridCol w:w="980"/>
        <w:gridCol w:w="2000"/>
        <w:gridCol w:w="400"/>
        <w:gridCol w:w="220"/>
        <w:gridCol w:w="1380"/>
        <w:gridCol w:w="1700"/>
        <w:gridCol w:w="800"/>
      </w:tblGrid>
      <w:tr>
        <w:tblPrEx>
          <w:tblLayout w:type="fixed"/>
          <w:tblCellMar>
            <w:top w:w="0" w:type="dxa"/>
            <w:left w:w="10" w:type="dxa"/>
            <w:bottom w:w="0" w:type="dxa"/>
            <w:right w:w="10" w:type="dxa"/>
          </w:tblCellMar>
        </w:tblPrEx>
        <w:trPr>
          <w:trHeight w:val="0" w:hRule="atLeast"/>
        </w:trPr>
        <w:tc>
          <w:tcPr>
            <w:tcW w:w="1" w:type="dxa"/>
          </w:tcPr>
          <w:p>
            <w:pPr>
              <w:pStyle w:val="4"/>
            </w:pPr>
            <w:bookmarkStart w:id="0" w:name="JR_PAGE_ANCHOR_0_1"/>
            <w:bookmarkEnd w:id="0"/>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18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“常乐星享月月享2号净值型理财产品”定期报告</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产品管理人：常熟农商银行</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产品托管人：招商银行</w:t>
            </w:r>
          </w:p>
        </w:tc>
        <w:tc>
          <w:tcPr>
            <w:tcW w:w="800" w:type="dxa"/>
          </w:tcPr>
          <w:p>
            <w:pPr>
              <w:pStyle w:val="4"/>
            </w:pPr>
          </w:p>
        </w:tc>
      </w:tr>
      <w:tr>
        <w:tblPrEx>
          <w:tblLayout w:type="fixed"/>
          <w:tblCellMar>
            <w:top w:w="0" w:type="dxa"/>
            <w:left w:w="10" w:type="dxa"/>
            <w:bottom w:w="0" w:type="dxa"/>
            <w:right w:w="10" w:type="dxa"/>
          </w:tblCellMar>
        </w:tblPrEx>
        <w:trPr>
          <w:trHeight w:val="11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本报告期自2023年01月01日起至06月30日止。</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tcPr>
          <w:p>
            <w:pPr>
              <w:pStyle w:val="4"/>
            </w:pPr>
          </w:p>
        </w:tc>
      </w:tr>
      <w:tr>
        <w:tblPrEx>
          <w:tblLayout w:type="fixed"/>
          <w:tblCellMar>
            <w:top w:w="0" w:type="dxa"/>
            <w:left w:w="10" w:type="dxa"/>
            <w:bottom w:w="0" w:type="dxa"/>
            <w:right w:w="10" w:type="dxa"/>
          </w:tblCellMar>
        </w:tblPrEx>
        <w:trPr>
          <w:trHeight w:val="8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常乐星享月月享2号净值型理财产品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CLXXY002</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C1115420000007</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开放式净值型</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报告期末产品份额总额（万份）</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100741</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产品管理人</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常熟农商银行</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产品净值表现</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Pr>
          <w:p>
            <w:pPr>
              <w:pStyle w:val="4"/>
            </w:pPr>
          </w:p>
        </w:tc>
        <w:tc>
          <w:tcPr>
            <w:tcW w:w="7300" w:type="dxa"/>
            <w:gridSpan w:val="9"/>
            <w:tcMar>
              <w:top w:w="0" w:type="dxa"/>
              <w:left w:w="0" w:type="dxa"/>
              <w:bottom w:w="0" w:type="dxa"/>
              <w:right w:w="0" w:type="dxa"/>
            </w:tcMar>
            <w:vAlign w:val="center"/>
          </w:tcPr>
          <w:p>
            <w:pPr>
              <w:spacing w:before="0" w:after="0" w:line="360" w:lineRule="auto"/>
              <w:jc w:val="right"/>
            </w:pPr>
            <w:r>
              <w:rPr>
                <w:rFonts w:ascii="原版宋体" w:hAnsi="原版宋体" w:eastAsia="原版宋体" w:cs="原版宋体"/>
                <w:color w:val="000000"/>
                <w:sz w:val="20"/>
              </w:rPr>
              <w:t>（单位：元）</w:t>
            </w:r>
          </w:p>
        </w:tc>
        <w:tc>
          <w:tcPr>
            <w:tcW w:w="800" w:type="dxa"/>
          </w:tcPr>
          <w:p>
            <w:pPr>
              <w:pStyle w:val="4"/>
            </w:pPr>
          </w:p>
        </w:tc>
      </w:tr>
      <w:tr>
        <w:tblPrEx>
          <w:tblLayout w:type="fixed"/>
          <w:tblCellMar>
            <w:top w:w="0" w:type="dxa"/>
            <w:left w:w="10" w:type="dxa"/>
            <w:bottom w:w="0" w:type="dxa"/>
            <w:right w:w="10" w:type="dxa"/>
          </w:tblCellMar>
        </w:tblPrEx>
        <w:trPr>
          <w:trHeight w:val="2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报告期（2023年01月01日-2023年06月30日）</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1.期末产品资产净值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1,105,831,109.67</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2.期末产品份额净值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1.097687</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3.期末产品份额累计净值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1.097687</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1" w:name="JR_PAGE_ANCHOR_0_2"/>
            <w:bookmarkEnd w:id="1"/>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4  投资组合报告</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4.1 报告期末产品资产组合情况</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占产品总资产的比例（%）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1,214,826,668.80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99.95%</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其中：债券</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1,214,826,668.80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99.95%</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非标资产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权益投资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其中：基金</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金融衍生品投资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买入返售金融资产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其中：买断式回购</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633,158.24</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0.05%</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1,215,459,827.04</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800" w:type="dxa"/>
          </w:tcPr>
          <w:p>
            <w:pPr>
              <w:pStyle w:val="4"/>
            </w:pPr>
          </w:p>
        </w:tc>
      </w:tr>
      <w:tr>
        <w:tblPrEx>
          <w:tblLayout w:type="fixed"/>
          <w:tblCellMar>
            <w:top w:w="0" w:type="dxa"/>
            <w:left w:w="10" w:type="dxa"/>
            <w:bottom w:w="0" w:type="dxa"/>
            <w:right w:w="10" w:type="dxa"/>
          </w:tblCellMar>
        </w:tblPrEx>
        <w:trPr>
          <w:trHeight w:val="2000" w:hRule="exact"/>
        </w:trPr>
        <w:tc>
          <w:tcPr>
            <w:tcW w:w="1" w:type="dxa"/>
          </w:tcPr>
          <w:p>
            <w:pPr>
              <w:pStyle w:val="4"/>
            </w:pPr>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4.2 报告期末按债券品种分类的债券投资组合</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213,293,607.66</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19.29%</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213,293,607.66</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19.29%</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1,001,533,061.14</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90.57%</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1,214,826,668.80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109.86%</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2" w:name="JR_PAGE_ANCHOR_0_3"/>
            <w:bookmarkEnd w:id="2"/>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4.3 报告期末按市值占产品资产净值比例大小排名的前十名资产投资明细</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230201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23国开01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151,459,704.92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13.70%</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032000846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20中兴国资PPN001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51,662,263.82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4.67%</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SS114145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22淮交01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51,323,068.89</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4.64%</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4</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032100014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21江宁科学PPN001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51,075,225.56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4.62%</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5</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032280421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22嵊州投资PPN001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40,119,416.56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3.63%</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6</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032101143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21柯桥国资PPN003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38,000,000.00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39,266,480.08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3.55%</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7</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032100955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21南京浦口PPN002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36,000,000.00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37,136,671.34</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3.36%</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8</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SS194292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22吴资01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35,000,000.00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35,350,383.56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3.20%</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9</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SS194893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22赣建D1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34,000,000.00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35,286,574.93</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3.19%</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032000599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20淮安水利PPN003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31,290,187.99</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2.83%</w:t>
            </w:r>
          </w:p>
        </w:tc>
        <w:tc>
          <w:tcPr>
            <w:tcW w:w="800" w:type="dxa"/>
          </w:tcPr>
          <w:p>
            <w:pPr>
              <w:pStyle w:val="4"/>
            </w:pPr>
          </w:p>
        </w:tc>
      </w:tr>
      <w:tr>
        <w:tblPrEx>
          <w:tblLayout w:type="fixed"/>
          <w:tblCellMar>
            <w:top w:w="0" w:type="dxa"/>
            <w:left w:w="10" w:type="dxa"/>
            <w:bottom w:w="0" w:type="dxa"/>
            <w:right w:w="10" w:type="dxa"/>
          </w:tblCellMar>
        </w:tblPrEx>
        <w:trPr>
          <w:trHeight w:val="58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4.4 报告期末投资组合流动性风险分析</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报告期内，产品管理人通过合理安排资产配置结构，保持一定比例的高流动性资产，控制资产久期、杠杆融资比例，管控产品流动性风险。持仓中利率债、同业存单及高等级信用债占比较高，对于关键时点的规模变动和资金面波动都有充足的准备，且融资渠道畅通多元，风险总体可控。</w:t>
            </w:r>
          </w:p>
        </w:tc>
        <w:tc>
          <w:tcPr>
            <w:tcW w:w="800" w:type="dxa"/>
          </w:tcPr>
          <w:p>
            <w:pPr>
              <w:pStyle w:val="4"/>
            </w:pPr>
          </w:p>
        </w:tc>
      </w:tr>
      <w:tr>
        <w:tblPrEx>
          <w:tblLayout w:type="fixed"/>
          <w:tblCellMar>
            <w:top w:w="0" w:type="dxa"/>
            <w:left w:w="10" w:type="dxa"/>
            <w:bottom w:w="0" w:type="dxa"/>
            <w:right w:w="10" w:type="dxa"/>
          </w:tblCellMar>
        </w:tblPrEx>
        <w:trPr>
          <w:trHeight w:val="102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bookmarkStart w:id="3" w:name="_GoBack"/>
            <w:bookmarkEnd w:id="3"/>
          </w:p>
        </w:tc>
        <w:tc>
          <w:tcPr>
            <w:tcW w:w="10700" w:type="dxa"/>
            <w:gridSpan w:val="13"/>
            <w:tcMar>
              <w:top w:w="0" w:type="dxa"/>
              <w:left w:w="0" w:type="dxa"/>
              <w:bottom w:w="0" w:type="dxa"/>
              <w:right w:w="0" w:type="dxa"/>
            </w:tcMar>
            <w:vAlign w:val="center"/>
          </w:tcPr>
          <w:p>
            <w:pPr>
              <w:spacing w:before="0" w:after="0" w:line="360" w:lineRule="auto"/>
              <w:rPr>
                <w:rFonts w:ascii="原版宋体" w:hAnsi="原版宋体" w:eastAsia="原版宋体" w:cs="原版宋体"/>
                <w:color w:val="000000"/>
                <w:sz w:val="20"/>
              </w:rPr>
            </w:pPr>
            <w:r>
              <w:rPr>
                <w:rFonts w:hint="eastAsia" w:ascii="原版宋体" w:hAnsi="原版宋体" w:eastAsia="原版宋体" w:cs="原版宋体"/>
                <w:b/>
                <w:color w:val="000000"/>
                <w:sz w:val="20"/>
                <w:lang w:val="en-US" w:eastAsia="zh-CN"/>
              </w:rPr>
              <w:t>5</w:t>
            </w:r>
            <w:r>
              <w:rPr>
                <w:rFonts w:ascii="原版宋体" w:hAnsi="原版宋体" w:eastAsia="原版宋体" w:cs="原版宋体"/>
                <w:b/>
                <w:color w:val="000000"/>
                <w:sz w:val="20"/>
              </w:rPr>
              <w:t xml:space="preserve">  </w:t>
            </w:r>
            <w:r>
              <w:rPr>
                <w:rFonts w:hint="eastAsia" w:ascii="原版宋体" w:hAnsi="原版宋体" w:eastAsia="原版宋体" w:cs="原版宋体"/>
                <w:b/>
                <w:color w:val="000000"/>
                <w:sz w:val="20"/>
                <w:lang w:eastAsia="zh-CN"/>
              </w:rPr>
              <w:t>投资账户信息</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户名</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常熟农商银行-常乐星享月月享</w:t>
            </w:r>
            <w:r>
              <w:rPr>
                <w:rFonts w:hint="eastAsia" w:ascii="原版宋体" w:hAnsi="原版宋体" w:eastAsia="原版宋体" w:cs="原版宋体"/>
                <w:color w:val="000000"/>
                <w:sz w:val="20"/>
                <w:lang w:val="en-US" w:eastAsia="zh-CN"/>
              </w:rPr>
              <w:t>2</w:t>
            </w:r>
            <w:r>
              <w:rPr>
                <w:rFonts w:hint="eastAsia" w:ascii="原版宋体" w:hAnsi="原版宋体" w:eastAsia="原版宋体" w:cs="原版宋体"/>
                <w:color w:val="000000"/>
                <w:sz w:val="20"/>
                <w:lang w:eastAsia="zh-CN"/>
              </w:rPr>
              <w:t>号净值型理财产品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账号</w:t>
            </w:r>
          </w:p>
        </w:tc>
        <w:tc>
          <w:tcPr>
            <w:tcW w:w="8643" w:type="dxa"/>
            <w:gridSpan w:val="11"/>
            <w:tcMar>
              <w:top w:w="0" w:type="dxa"/>
              <w:left w:w="0" w:type="dxa"/>
              <w:bottom w:w="0" w:type="dxa"/>
              <w:right w:w="0" w:type="dxa"/>
            </w:tcMar>
            <w:vAlign w:val="center"/>
          </w:tcPr>
          <w:p>
            <w:pPr>
              <w:jc w:val="center"/>
            </w:pPr>
            <w:r>
              <w:rPr>
                <w:rFonts w:hint="eastAsia" w:asciiTheme="minorEastAsia" w:hAnsiTheme="minorEastAsia" w:eastAsiaTheme="minorEastAsia" w:cstheme="minorEastAsia"/>
                <w:sz w:val="20"/>
                <w:szCs w:val="20"/>
              </w:rPr>
              <w:t>512902284610415</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开 户 行</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招商银行苏州分行营业部</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pPr>
            <w:r>
              <w:rPr>
                <w:rFonts w:ascii="原版宋体" w:hAnsi="原版宋体" w:eastAsia="原版宋体" w:cs="原版宋体"/>
                <w:color w:val="000000"/>
                <w:sz w:val="20"/>
              </w:rPr>
              <w:t xml:space="preserve">    特此公告。</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江苏常熟农村商业银行股份有限公司</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2023年07月11日</w:t>
            </w:r>
          </w:p>
        </w:tc>
        <w:tc>
          <w:tcPr>
            <w:tcW w:w="800" w:type="dxa"/>
          </w:tcPr>
          <w:p>
            <w:pPr>
              <w:pStyle w:val="4"/>
            </w:pPr>
          </w:p>
        </w:tc>
      </w:tr>
    </w:tbl>
    <w:p/>
    <w:sectPr>
      <w:pgSz w:w="13900" w:h="16860"/>
      <w:pgMar w:top="800" w:right="1200" w:bottom="440" w:left="1200" w:header="0" w:footer="0" w:gutter="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原版宋体">
    <w:altName w:val="宋体"/>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cumentProtection w:enforcement="0"/>
  <w:defaultTabStop w:val="800"/>
  <w:compat>
    <w:useFELayout/>
    <w:splitPgBreakAndParaMark/>
    <w:compatSetting w:name="compatibilityMode" w:uri="http://schemas.microsoft.com/office/word" w:val="12"/>
  </w:compat>
  <w:rsids>
    <w:rsidRoot w:val="00000000"/>
    <w:rsid w:val="490B75F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Office_11.8.2.8696_F1E327BC-269C-435d-A152-05C5408002CA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2023-07-11T08:12:03Z</dcterms:created>
  <dc:creator>user</dc:creator>
  <cp:lastModifiedBy>user</cp:lastModifiedBy>
  <dcterms:modified xsi:type="dcterms:W3CDTF">2023-07-11T08:12:18Z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