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10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0"/>
        <w:gridCol w:w="20"/>
        <w:gridCol w:w="2400"/>
        <w:gridCol w:w="180"/>
        <w:gridCol w:w="400"/>
        <w:gridCol w:w="1420"/>
        <w:gridCol w:w="1180"/>
        <w:gridCol w:w="20"/>
        <w:gridCol w:w="580"/>
        <w:gridCol w:w="1440"/>
        <w:gridCol w:w="1160"/>
        <w:gridCol w:w="130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00" w:type="dxa"/>
          </w:tcPr>
          <w:p>
            <w:pPr>
              <w:pStyle w:val="4"/>
            </w:pPr>
            <w:bookmarkStart w:id="0" w:name="JR_PAGE_ANCHOR_0_1"/>
            <w:bookmarkEnd w:id="0"/>
          </w:p>
        </w:tc>
        <w:tc>
          <w:tcPr>
            <w:tcW w:w="2600" w:type="dxa"/>
            <w:gridSpan w:val="3"/>
          </w:tcPr>
          <w:p>
            <w:pPr>
              <w:pStyle w:val="4"/>
            </w:pPr>
          </w:p>
        </w:tc>
        <w:tc>
          <w:tcPr>
            <w:tcW w:w="3000" w:type="dxa"/>
            <w:gridSpan w:val="3"/>
          </w:tcPr>
          <w:p>
            <w:pPr>
              <w:pStyle w:val="4"/>
            </w:pPr>
          </w:p>
        </w:tc>
        <w:tc>
          <w:tcPr>
            <w:tcW w:w="3200" w:type="dxa"/>
            <w:gridSpan w:val="4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0" w:hRule="exact"/>
        </w:trPr>
        <w:tc>
          <w:tcPr>
            <w:tcW w:w="1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before="0" w:after="0" w:line="240" w:lineRule="auto"/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32"/>
              </w:rPr>
              <w:t xml:space="preserve">常熟农商银行                   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1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32"/>
              </w:rPr>
              <w:t>净值型理财业务2023年上半年报告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111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b/>
                <w:color w:val="000000"/>
                <w:sz w:val="30"/>
              </w:rPr>
              <w:t>一、报告期内产品发行及到期情况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 xml:space="preserve">    2023年1月1日至2023年6月30日，合计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eastAsia="zh-CN"/>
              </w:rPr>
              <w:t>新</w:t>
            </w: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发行净值型理财产品1款，产品实际募集规模合计5万元。具体发行情况如下：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</w:tcPr>
          <w:p>
            <w:pPr>
              <w:pStyle w:val="4"/>
            </w:pPr>
          </w:p>
        </w:tc>
        <w:tc>
          <w:tcPr>
            <w:tcW w:w="3000" w:type="dxa"/>
            <w:gridSpan w:val="3"/>
          </w:tcPr>
          <w:p>
            <w:pPr>
              <w:pStyle w:val="4"/>
            </w:pPr>
          </w:p>
        </w:tc>
        <w:tc>
          <w:tcPr>
            <w:tcW w:w="3200" w:type="dxa"/>
            <w:gridSpan w:val="4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360" w:lineRule="auto"/>
              <w:jc w:val="right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2"/>
              </w:rPr>
              <w:t>单位：人民币（万元）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产品类型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产品数量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产品金额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固定收益类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混合类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权益类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5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商品及金融衍生品类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合计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5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</w:tcPr>
          <w:p>
            <w:pPr>
              <w:pStyle w:val="4"/>
            </w:pPr>
          </w:p>
        </w:tc>
        <w:tc>
          <w:tcPr>
            <w:tcW w:w="3000" w:type="dxa"/>
            <w:gridSpan w:val="3"/>
          </w:tcPr>
          <w:p>
            <w:pPr>
              <w:pStyle w:val="4"/>
            </w:pPr>
          </w:p>
        </w:tc>
        <w:tc>
          <w:tcPr>
            <w:tcW w:w="3200" w:type="dxa"/>
            <w:gridSpan w:val="4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 xml:space="preserve">    2023年1月1日至2023年6月30日，合计到期净值型理财产品1款，产品规模合计16,997万元。具体到期情况如下：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</w:tcPr>
          <w:p>
            <w:pPr>
              <w:pStyle w:val="4"/>
            </w:pPr>
          </w:p>
        </w:tc>
        <w:tc>
          <w:tcPr>
            <w:tcW w:w="3000" w:type="dxa"/>
            <w:gridSpan w:val="3"/>
          </w:tcPr>
          <w:p>
            <w:pPr>
              <w:pStyle w:val="4"/>
            </w:pPr>
          </w:p>
        </w:tc>
        <w:tc>
          <w:tcPr>
            <w:tcW w:w="3200" w:type="dxa"/>
            <w:gridSpan w:val="4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360" w:lineRule="auto"/>
              <w:jc w:val="right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2"/>
              </w:rPr>
              <w:t>单位：人民币（万元）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产品类型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产品数量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产品金额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固定收益类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16,997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混合类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权益类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商品及金融衍生品类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合计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16,997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</w:tcPr>
          <w:p>
            <w:pPr>
              <w:pStyle w:val="4"/>
            </w:pPr>
          </w:p>
        </w:tc>
        <w:tc>
          <w:tcPr>
            <w:tcW w:w="3000" w:type="dxa"/>
            <w:gridSpan w:val="3"/>
          </w:tcPr>
          <w:p>
            <w:pPr>
              <w:pStyle w:val="4"/>
            </w:pPr>
          </w:p>
        </w:tc>
        <w:tc>
          <w:tcPr>
            <w:tcW w:w="3200" w:type="dxa"/>
            <w:gridSpan w:val="4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b/>
                <w:color w:val="000000"/>
                <w:sz w:val="30"/>
              </w:rPr>
              <w:t>二、</w:t>
            </w:r>
            <w:r>
              <w:rPr>
                <w:rFonts w:ascii="原版宋体" w:hAnsi="原版宋体" w:eastAsia="原版宋体" w:cs="原版宋体"/>
                <w:b/>
                <w:color w:val="000000"/>
                <w:sz w:val="30"/>
              </w:rPr>
              <w:tab/>
              <w:t>报告期末续存理财产品情况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 xml:space="preserve">    截至2023年6月30日，存续净值型理财产品24款，产品规模合计3,156,26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万元。具体存续理财产品情况如下：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</w:tcPr>
          <w:p>
            <w:pPr>
              <w:pStyle w:val="4"/>
            </w:pPr>
          </w:p>
        </w:tc>
        <w:tc>
          <w:tcPr>
            <w:tcW w:w="3000" w:type="dxa"/>
            <w:gridSpan w:val="3"/>
          </w:tcPr>
          <w:p>
            <w:pPr>
              <w:pStyle w:val="4"/>
            </w:pPr>
          </w:p>
        </w:tc>
        <w:tc>
          <w:tcPr>
            <w:tcW w:w="3200" w:type="dxa"/>
            <w:gridSpan w:val="4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360" w:lineRule="auto"/>
              <w:jc w:val="right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2"/>
              </w:rPr>
              <w:t>单位：人民币（万元）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产品类型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产品数量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产品金额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固定收益类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22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3,154,954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混合类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权益类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2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原版宋体"/>
                <w:lang w:eastAsia="zh-CN"/>
              </w:rPr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1,31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商品及金融衍生品类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合计</w:t>
            </w:r>
          </w:p>
        </w:tc>
        <w:tc>
          <w:tcPr>
            <w:tcW w:w="3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24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原版宋体"/>
                <w:lang w:val="en-US" w:eastAsia="zh-CN"/>
              </w:rPr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3,156,26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00" w:type="dxa"/>
          </w:tcPr>
          <w:p>
            <w:pPr>
              <w:pStyle w:val="4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400" w:type="dxa"/>
          </w:tcPr>
          <w:p>
            <w:pPr>
              <w:pStyle w:val="4"/>
            </w:pPr>
          </w:p>
        </w:tc>
        <w:tc>
          <w:tcPr>
            <w:tcW w:w="580" w:type="dxa"/>
            <w:gridSpan w:val="2"/>
          </w:tcPr>
          <w:p>
            <w:pPr>
              <w:pStyle w:val="4"/>
            </w:pPr>
          </w:p>
        </w:tc>
        <w:tc>
          <w:tcPr>
            <w:tcW w:w="1420" w:type="dxa"/>
          </w:tcPr>
          <w:p>
            <w:pPr>
              <w:pStyle w:val="4"/>
            </w:pPr>
          </w:p>
        </w:tc>
        <w:tc>
          <w:tcPr>
            <w:tcW w:w="1200" w:type="dxa"/>
            <w:gridSpan w:val="2"/>
          </w:tcPr>
          <w:p>
            <w:pPr>
              <w:pStyle w:val="4"/>
            </w:pPr>
          </w:p>
        </w:tc>
        <w:tc>
          <w:tcPr>
            <w:tcW w:w="580" w:type="dxa"/>
          </w:tcPr>
          <w:p>
            <w:pPr>
              <w:pStyle w:val="4"/>
            </w:pPr>
          </w:p>
        </w:tc>
        <w:tc>
          <w:tcPr>
            <w:tcW w:w="1440" w:type="dxa"/>
          </w:tcPr>
          <w:p>
            <w:pPr>
              <w:pStyle w:val="4"/>
            </w:pPr>
          </w:p>
        </w:tc>
        <w:tc>
          <w:tcPr>
            <w:tcW w:w="1160" w:type="dxa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b/>
                <w:color w:val="000000"/>
                <w:sz w:val="30"/>
              </w:rPr>
              <w:t>三、理财产品结构及变动情况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 xml:space="preserve">    截至2023年6月30日，存续净值型理财产品相较上一披露期末结构及变动情况如下：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400" w:type="dxa"/>
          </w:tcPr>
          <w:p>
            <w:pPr>
              <w:pStyle w:val="4"/>
            </w:pPr>
          </w:p>
        </w:tc>
        <w:tc>
          <w:tcPr>
            <w:tcW w:w="580" w:type="dxa"/>
            <w:gridSpan w:val="2"/>
          </w:tcPr>
          <w:p>
            <w:pPr>
              <w:pStyle w:val="4"/>
            </w:pPr>
          </w:p>
        </w:tc>
        <w:tc>
          <w:tcPr>
            <w:tcW w:w="1420" w:type="dxa"/>
          </w:tcPr>
          <w:p>
            <w:pPr>
              <w:pStyle w:val="4"/>
            </w:pPr>
          </w:p>
        </w:tc>
        <w:tc>
          <w:tcPr>
            <w:tcW w:w="1200" w:type="dxa"/>
            <w:gridSpan w:val="2"/>
          </w:tcPr>
          <w:p>
            <w:pPr>
              <w:pStyle w:val="4"/>
            </w:pPr>
          </w:p>
        </w:tc>
        <w:tc>
          <w:tcPr>
            <w:tcW w:w="580" w:type="dxa"/>
          </w:tcPr>
          <w:p>
            <w:pPr>
              <w:pStyle w:val="4"/>
            </w:pPr>
          </w:p>
        </w:tc>
        <w:tc>
          <w:tcPr>
            <w:tcW w:w="1440" w:type="dxa"/>
          </w:tcPr>
          <w:p>
            <w:pPr>
              <w:pStyle w:val="4"/>
            </w:pPr>
          </w:p>
        </w:tc>
        <w:tc>
          <w:tcPr>
            <w:tcW w:w="1160" w:type="dxa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360" w:lineRule="auto"/>
              <w:jc w:val="right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2"/>
              </w:rPr>
              <w:t>单位：人民币（万元）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产品类型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产品金额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占比</w:t>
            </w:r>
          </w:p>
        </w:tc>
        <w:tc>
          <w:tcPr>
            <w:tcW w:w="2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上一披露日占比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4"/>
              </w:rPr>
              <w:t>变动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固定收益类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3,154,954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99.96%</w:t>
            </w:r>
          </w:p>
        </w:tc>
        <w:tc>
          <w:tcPr>
            <w:tcW w:w="2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99.97%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-0.01%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混合类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0.00%</w:t>
            </w:r>
          </w:p>
        </w:tc>
        <w:tc>
          <w:tcPr>
            <w:tcW w:w="2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0.00%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0.00%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权益类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原版宋体"/>
                <w:lang w:eastAsia="zh-CN"/>
              </w:rPr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1,31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0.04%</w:t>
            </w:r>
          </w:p>
        </w:tc>
        <w:tc>
          <w:tcPr>
            <w:tcW w:w="2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0.03%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0.01%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商品及金融衍生品类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0.00%</w:t>
            </w:r>
          </w:p>
        </w:tc>
        <w:tc>
          <w:tcPr>
            <w:tcW w:w="2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0.00%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0.00%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4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合计</w:t>
            </w:r>
          </w:p>
        </w:tc>
        <w:tc>
          <w:tcPr>
            <w:tcW w:w="2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原版宋体"/>
                <w:lang w:eastAsia="zh-CN"/>
              </w:rPr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3,156,26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100.00%</w:t>
            </w:r>
          </w:p>
        </w:tc>
        <w:tc>
          <w:tcPr>
            <w:tcW w:w="2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100.00%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400" w:type="dxa"/>
          </w:tcPr>
          <w:p>
            <w:pPr>
              <w:pStyle w:val="4"/>
            </w:pPr>
          </w:p>
        </w:tc>
        <w:tc>
          <w:tcPr>
            <w:tcW w:w="580" w:type="dxa"/>
            <w:gridSpan w:val="2"/>
          </w:tcPr>
          <w:p>
            <w:pPr>
              <w:pStyle w:val="4"/>
            </w:pPr>
          </w:p>
        </w:tc>
        <w:tc>
          <w:tcPr>
            <w:tcW w:w="1420" w:type="dxa"/>
          </w:tcPr>
          <w:p>
            <w:pPr>
              <w:pStyle w:val="4"/>
            </w:pPr>
          </w:p>
        </w:tc>
        <w:tc>
          <w:tcPr>
            <w:tcW w:w="1200" w:type="dxa"/>
            <w:gridSpan w:val="2"/>
          </w:tcPr>
          <w:p>
            <w:pPr>
              <w:pStyle w:val="4"/>
            </w:pPr>
          </w:p>
        </w:tc>
        <w:tc>
          <w:tcPr>
            <w:tcW w:w="580" w:type="dxa"/>
          </w:tcPr>
          <w:p>
            <w:pPr>
              <w:pStyle w:val="4"/>
            </w:pPr>
          </w:p>
        </w:tc>
        <w:tc>
          <w:tcPr>
            <w:tcW w:w="1440" w:type="dxa"/>
          </w:tcPr>
          <w:p>
            <w:pPr>
              <w:pStyle w:val="4"/>
            </w:pPr>
          </w:p>
        </w:tc>
        <w:tc>
          <w:tcPr>
            <w:tcW w:w="1160" w:type="dxa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b/>
                <w:color w:val="000000"/>
                <w:sz w:val="30"/>
              </w:rPr>
              <w:t>四、理财产品资产投资情况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 xml:space="preserve">    截至2023年6月30日，存续理财净值型产品合计投资资产规模3,572,592.6</w:t>
            </w:r>
            <w:r>
              <w:rPr>
                <w:rFonts w:hint="eastAsia" w:ascii="原版宋体" w:hAnsi="原版宋体" w:eastAsia="原版宋体" w:cs="原版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万元。具体资产投资情况如下：</w:t>
            </w:r>
            <w:bookmarkStart w:id="2" w:name="_GoBack"/>
            <w:bookmarkEnd w:id="2"/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400" w:type="dxa"/>
          </w:tcPr>
          <w:p>
            <w:pPr>
              <w:pStyle w:val="4"/>
            </w:pPr>
          </w:p>
        </w:tc>
        <w:tc>
          <w:tcPr>
            <w:tcW w:w="580" w:type="dxa"/>
            <w:gridSpan w:val="2"/>
          </w:tcPr>
          <w:p>
            <w:pPr>
              <w:pStyle w:val="4"/>
            </w:pPr>
          </w:p>
        </w:tc>
        <w:tc>
          <w:tcPr>
            <w:tcW w:w="1420" w:type="dxa"/>
          </w:tcPr>
          <w:p>
            <w:pPr>
              <w:pStyle w:val="4"/>
            </w:pPr>
          </w:p>
        </w:tc>
        <w:tc>
          <w:tcPr>
            <w:tcW w:w="1200" w:type="dxa"/>
            <w:gridSpan w:val="2"/>
          </w:tcPr>
          <w:p>
            <w:pPr>
              <w:pStyle w:val="4"/>
            </w:pPr>
          </w:p>
        </w:tc>
        <w:tc>
          <w:tcPr>
            <w:tcW w:w="580" w:type="dxa"/>
          </w:tcPr>
          <w:p>
            <w:pPr>
              <w:pStyle w:val="4"/>
            </w:pPr>
          </w:p>
        </w:tc>
        <w:tc>
          <w:tcPr>
            <w:tcW w:w="1440" w:type="dxa"/>
          </w:tcPr>
          <w:p>
            <w:pPr>
              <w:pStyle w:val="4"/>
            </w:pPr>
          </w:p>
        </w:tc>
        <w:tc>
          <w:tcPr>
            <w:tcW w:w="1160" w:type="dxa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360" w:lineRule="auto"/>
              <w:jc w:val="right"/>
            </w:pPr>
            <w:r>
              <w:rPr>
                <w:rFonts w:ascii="原版宋体" w:hAnsi="原版宋体" w:eastAsia="原版宋体" w:cs="原版宋体"/>
                <w:b/>
                <w:color w:val="000000"/>
                <w:sz w:val="22"/>
              </w:rPr>
              <w:t>单位：人民币（万元）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资产类型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资产规模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占比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现金及银行存款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14188.72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同业存单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85300.95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买入返售金融资产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债券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3455245.45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96.72%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其他债权类资产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5160.05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股票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公募基金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12697.49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商品及金融衍生品资产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2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3,572,592.66</w:t>
            </w:r>
          </w:p>
        </w:tc>
        <w:tc>
          <w:tcPr>
            <w:tcW w:w="26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400" w:type="dxa"/>
          </w:tcPr>
          <w:p>
            <w:pPr>
              <w:pStyle w:val="4"/>
            </w:pPr>
          </w:p>
        </w:tc>
        <w:tc>
          <w:tcPr>
            <w:tcW w:w="580" w:type="dxa"/>
            <w:gridSpan w:val="2"/>
          </w:tcPr>
          <w:p>
            <w:pPr>
              <w:pStyle w:val="4"/>
            </w:pPr>
          </w:p>
        </w:tc>
        <w:tc>
          <w:tcPr>
            <w:tcW w:w="1420" w:type="dxa"/>
          </w:tcPr>
          <w:p>
            <w:pPr>
              <w:pStyle w:val="4"/>
            </w:pPr>
          </w:p>
        </w:tc>
        <w:tc>
          <w:tcPr>
            <w:tcW w:w="1200" w:type="dxa"/>
            <w:gridSpan w:val="2"/>
          </w:tcPr>
          <w:p>
            <w:pPr>
              <w:pStyle w:val="4"/>
            </w:pPr>
          </w:p>
        </w:tc>
        <w:tc>
          <w:tcPr>
            <w:tcW w:w="580" w:type="dxa"/>
          </w:tcPr>
          <w:p>
            <w:pPr>
              <w:pStyle w:val="4"/>
            </w:pPr>
          </w:p>
        </w:tc>
        <w:tc>
          <w:tcPr>
            <w:tcW w:w="1440" w:type="dxa"/>
          </w:tcPr>
          <w:p>
            <w:pPr>
              <w:pStyle w:val="4"/>
            </w:pPr>
          </w:p>
        </w:tc>
        <w:tc>
          <w:tcPr>
            <w:tcW w:w="1160" w:type="dxa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 xml:space="preserve">    感谢您一直以来对常熟农商银行的支持！敬请继续关注常熟农商银行正在销售的其他理财产品。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400" w:type="dxa"/>
          </w:tcPr>
          <w:p>
            <w:pPr>
              <w:pStyle w:val="4"/>
            </w:pPr>
          </w:p>
        </w:tc>
        <w:tc>
          <w:tcPr>
            <w:tcW w:w="580" w:type="dxa"/>
            <w:gridSpan w:val="2"/>
          </w:tcPr>
          <w:p>
            <w:pPr>
              <w:pStyle w:val="4"/>
            </w:pPr>
          </w:p>
        </w:tc>
        <w:tc>
          <w:tcPr>
            <w:tcW w:w="1420" w:type="dxa"/>
          </w:tcPr>
          <w:p>
            <w:pPr>
              <w:pStyle w:val="4"/>
            </w:pPr>
          </w:p>
        </w:tc>
        <w:tc>
          <w:tcPr>
            <w:tcW w:w="1200" w:type="dxa"/>
            <w:gridSpan w:val="2"/>
          </w:tcPr>
          <w:p>
            <w:pPr>
              <w:pStyle w:val="4"/>
            </w:pPr>
          </w:p>
        </w:tc>
        <w:tc>
          <w:tcPr>
            <w:tcW w:w="580" w:type="dxa"/>
          </w:tcPr>
          <w:p>
            <w:pPr>
              <w:pStyle w:val="4"/>
            </w:pPr>
          </w:p>
        </w:tc>
        <w:tc>
          <w:tcPr>
            <w:tcW w:w="1440" w:type="dxa"/>
          </w:tcPr>
          <w:p>
            <w:pPr>
              <w:pStyle w:val="4"/>
            </w:pPr>
          </w:p>
        </w:tc>
        <w:tc>
          <w:tcPr>
            <w:tcW w:w="1160" w:type="dxa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 xml:space="preserve">    特此公告。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20" w:type="dxa"/>
          </w:tcPr>
          <w:p>
            <w:pPr>
              <w:pStyle w:val="4"/>
            </w:pPr>
          </w:p>
        </w:tc>
        <w:tc>
          <w:tcPr>
            <w:tcW w:w="2400" w:type="dxa"/>
          </w:tcPr>
          <w:p>
            <w:pPr>
              <w:pStyle w:val="4"/>
            </w:pPr>
          </w:p>
        </w:tc>
        <w:tc>
          <w:tcPr>
            <w:tcW w:w="580" w:type="dxa"/>
            <w:gridSpan w:val="2"/>
          </w:tcPr>
          <w:p>
            <w:pPr>
              <w:pStyle w:val="4"/>
            </w:pPr>
          </w:p>
        </w:tc>
        <w:tc>
          <w:tcPr>
            <w:tcW w:w="1420" w:type="dxa"/>
          </w:tcPr>
          <w:p>
            <w:pPr>
              <w:pStyle w:val="4"/>
            </w:pPr>
          </w:p>
        </w:tc>
        <w:tc>
          <w:tcPr>
            <w:tcW w:w="1200" w:type="dxa"/>
            <w:gridSpan w:val="2"/>
          </w:tcPr>
          <w:p>
            <w:pPr>
              <w:pStyle w:val="4"/>
            </w:pPr>
          </w:p>
        </w:tc>
        <w:tc>
          <w:tcPr>
            <w:tcW w:w="580" w:type="dxa"/>
          </w:tcPr>
          <w:p>
            <w:pPr>
              <w:pStyle w:val="4"/>
            </w:pPr>
          </w:p>
        </w:tc>
        <w:tc>
          <w:tcPr>
            <w:tcW w:w="1440" w:type="dxa"/>
          </w:tcPr>
          <w:p>
            <w:pPr>
              <w:pStyle w:val="4"/>
            </w:pPr>
          </w:p>
        </w:tc>
        <w:tc>
          <w:tcPr>
            <w:tcW w:w="1160" w:type="dxa"/>
          </w:tcPr>
          <w:p>
            <w:pPr>
              <w:pStyle w:val="4"/>
            </w:pP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360" w:lineRule="auto"/>
              <w:jc w:val="right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江苏常熟农村商业银行股份有限公司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00" w:type="dxa"/>
          </w:tcPr>
          <w:p>
            <w:pPr>
              <w:pStyle w:val="4"/>
            </w:pPr>
          </w:p>
        </w:tc>
        <w:tc>
          <w:tcPr>
            <w:tcW w:w="88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360" w:lineRule="auto"/>
              <w:jc w:val="right"/>
            </w:pPr>
            <w:r>
              <w:rPr>
                <w:rFonts w:ascii="原版宋体" w:hAnsi="原版宋体" w:eastAsia="原版宋体" w:cs="原版宋体"/>
                <w:color w:val="000000"/>
                <w:sz w:val="24"/>
              </w:rPr>
              <w:t>2023年07月14日</w:t>
            </w:r>
          </w:p>
        </w:tc>
        <w:tc>
          <w:tcPr>
            <w:tcW w:w="1300" w:type="dxa"/>
          </w:tcPr>
          <w:p>
            <w:pPr>
              <w:pStyle w:val="4"/>
            </w:pPr>
          </w:p>
        </w:tc>
      </w:tr>
    </w:tbl>
    <w:p/>
    <w:sectPr>
      <w:pgSz w:w="11900" w:h="16840"/>
      <w:pgMar w:top="400" w:right="400" w:bottom="40" w:left="400" w:header="0" w:footer="0" w:gutter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原版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E0447"/>
    <w:rsid w:val="0DF45567"/>
    <w:rsid w:val="16182025"/>
    <w:rsid w:val="55001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MPTY_CELL_STYLE"/>
    <w:qFormat/>
    <w:uiPriority w:val="0"/>
    <w:pPr>
      <w:spacing w:line="240" w:lineRule="auto"/>
    </w:pPr>
    <w:rPr>
      <w:rFonts w:ascii="SansSerif" w:hAnsi="SansSerif" w:eastAsia="SansSerif" w:cs="SansSerif"/>
      <w:color w:val="000000"/>
      <w:sz w:val="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2023-07-14T05:29:55Z</dcterms:created>
  <dc:creator>crcb</dc:creator>
  <cp:lastModifiedBy>crcb</cp:lastModifiedBy>
  <dcterms:modified xsi:type="dcterms:W3CDTF">2023-07-14T05:42:26Z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