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“常乐瑞盈1号净值型理财产品”定期报告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产品托管人：宁波银行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本报告期自2023年07月01日起至09月30日止。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常乐瑞盈1号净值型理财产品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RY001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C1115420000002</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27098</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报告期（2023年07月01日-2023年09月30日）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307,118,828.26</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1.133325</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1.133325</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291,464,015.76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94.25%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291,464,015.76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94.25%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15,344,092.01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4.96%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15,344,092.01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4.96%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2,426,479.29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0.79%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309,234,587.06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15,386,511.78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15,386,511.78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276,077,503.98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89.89%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291,464,015.76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94.90%</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SS196979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21富皋02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26,456,904.09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8.61%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SS114960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23岳建01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26,054,777.13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8.48%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032280320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22迈瑞城投PPN002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25,854,069.96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8.42%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SS197161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21扬经开</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25,168,099.63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8.19%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SS178195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21东台02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23,984,221.43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7.81%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SS197355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21德发03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17,000,000.00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17,825,282.36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5.80%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SS197059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21袍工03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17,000,000.00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17,086,220.72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5.56%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SS197716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21袍工05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15,780,041.09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SS196337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22富开01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15,621,759.93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210322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21进出22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15,386,511.78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5.01%</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hint="default" w:ascii="原版宋体" w:hAnsi="原版宋体" w:eastAsia="原版宋体" w:cs="原版宋体"/>
                <w:color w:val="000000"/>
                <w:sz w:val="20"/>
                <w:lang w:val="en-US" w:eastAsia="zh-CN"/>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常乐瑞盈1号净值型理财产品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Theme="minorEastAsia" w:hAnsiTheme="minorEastAsia" w:eastAsiaTheme="minorEastAsia" w:cstheme="minorEastAsia"/>
                <w:sz w:val="20"/>
                <w:szCs w:val="21"/>
              </w:rPr>
              <w:t>70970122000112108001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宁波银行股份有限公司上海分行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2023年10月13日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800"/>
  <w:compat>
    <w:useFELayout/>
    <w:splitPgBreakAndParaMark/>
    <w:compatSetting w:name="compatibilityMode" w:uri="http://schemas.microsoft.com/office/word" w:val="12"/>
  </w:compat>
  <w:rsids>
    <w:rsidRoot w:val="00000000"/>
    <w:rsid w:val="65BF452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2023-10-13T02:41:02Z</dcterms:created>
  <dc:creator>user</dc:creator>
  <cp:lastModifiedBy>user</cp:lastModifiedBy>
  <dcterms:modified xsi:type="dcterms:W3CDTF">2023-10-13T02:42:44Z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