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“常乐星享月月享新资金2号净值型理财产品”定期报告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本报告期自2023年07月01日起至09月30日止。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常乐星享月月享新资金2号净值型理财产品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CLXXYX002</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C1115421000009</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90880</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报告期（2023年07月01日-2023年09月30日）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998,956,615.73</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1.099202</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1.099202</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1,060,158,939.73</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99.98%</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1,060,158,939.73</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99.98%</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187,197.95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1,060,346,137.68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212,344,284.72</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21.26%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212,344,284.72</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21.26%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839,010,577.20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83.99%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8,804,077.81</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0.88%</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1,060,158,939.73</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106.13%</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230201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23国开01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141,975,962.30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14.21%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032280295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22上饶城投PPN003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92,259,373.97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9.24%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SZ133266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22嘉塍01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62,000,000.00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62,254,102.73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6.23%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SS162190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19新昌01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50,788,816.68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5.08%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230211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23国开11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49,888,717.21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4.99%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032200262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22嘉兴滨海PPN001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39,477,533.12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3.95%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032280836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22海安开投PPN004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36,000,000.00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35,665,374.64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SS196542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21江建01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35,188,457.57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SS151452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19淳建01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31,153,813.46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3.12%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SS197161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21扬经开</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31,000,000.00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30,892,906.09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3.09%</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 xml:space="preserve">常熟农商银行-常乐星享月月享新资金2号净值型人民币理财产品 </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ascii="原版宋体" w:hAnsi="原版宋体" w:eastAsia="原版宋体" w:cs="原版宋体"/>
                <w:color w:val="000000"/>
                <w:sz w:val="20"/>
                <w:lang w:eastAsia="zh-CN"/>
              </w:rPr>
              <w:t>512902284610827</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2023年10月13日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cumentProtection w:enforcement="0"/>
  <w:defaultTabStop w:val="800"/>
  <w:compat>
    <w:useFELayout/>
    <w:splitPgBreakAndParaMark/>
    <w:compatSetting w:name="compatibilityMode" w:uri="http://schemas.microsoft.com/office/word" w:val="12"/>
  </w:compat>
  <w:rsids>
    <w:rsidRoot w:val="00000000"/>
    <w:rsid w:val="5E1B76D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2023-10-13T02:48:33Z</dcterms:created>
  <dc:creator>user</dc:creator>
  <cp:lastModifiedBy>user</cp:lastModifiedBy>
  <dcterms:modified xsi:type="dcterms:W3CDTF">2023-10-13T02:48:39Z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