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“常乐睿享价值精选1号净值型人民币理财产品”定期报告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产品托管人：上海银行常熟支行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常乐睿享价值精选1号净值型人民币理财产品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CLRXJZ001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13,065,480.82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0.811737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0.811737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12,054,953.43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12,054,953.43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1,286,974.85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13,341,928.28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中欧价值发现混合型证券投资基金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394,597.46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881,136.13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003293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易方达科瑞混合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423,706.38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790,508.99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000628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大成高新技术产业股票</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207,941.11</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777,491.81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002450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平安睿享文娱灵活配置混合型证券投资基金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380,289.30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764,001.20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161720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招商中证证券公司A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749,500.56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761,867.32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450004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国富深化价值混合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447,562.84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749,981.05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001186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富国文体健康股票A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289,157.72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649,448.24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004423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华商研究精选灵活配置A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247,436.57</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640,365.84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310358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申万菱信新经济混合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645,086.82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591,867.16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富国中证新能源汽车指数(LOF)A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647,406.35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537,994.68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835"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bookmarkStart w:id="3" w:name="_GoBack"/>
            <w:r>
              <w:rPr>
                <w:rFonts w:hint="eastAsia" w:ascii="原版宋体" w:hAnsi="原版宋体" w:eastAsia="原版宋体" w:cs="原版宋体"/>
                <w:color w:val="auto"/>
                <w:sz w:val="20"/>
              </w:rPr>
              <w:t>三季度，政治局会议时隔五年再次提及“活跃资本市场”，印花税、减持、再融资等相关利好政策及时跟进，股市政策底得到确认。在强有力的政策加持下市场并未走出强势反转，投资者信心依旧不足，对于市场底在时空上的认知存在较大分歧。本产品在三季度基本维持了原有了仓位、结构和品种，相较于偏股基金指数获得了一定的超额收益。我们始终尊重资本市场的周期性规律，在多项指标都接近历史底部的时刻往往对应着绝佳的投资机会，在方向相对确定而时间不确定的局面下我们更愿意以积极的态度去提前布局，以耐心换回足额的市场红利。</w:t>
            </w:r>
            <w:bookmarkEnd w:id="3"/>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常熟农商银行常乐睿享价值精选1号净值型人民币理财产品 </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03004741257</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上海银行股份有限公司常熟支行</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rPr>
                <w:rFonts w:hint="default" w:eastAsia="宋体"/>
                <w:lang w:val="en-US" w:eastAsia="zh-CN"/>
              </w:rPr>
            </w:pPr>
            <w:r>
              <w:rPr>
                <w:rFonts w:hint="eastAsia" w:eastAsia="宋体"/>
                <w:lang w:val="en-US" w:eastAsia="zh-CN"/>
              </w:rPr>
              <w:t>zhou</w:t>
            </w: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09457D1"/>
    <w:rsid w:val="02EC57DF"/>
    <w:rsid w:val="163060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84</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2023-10-13T02:53:00Z</dcterms:created>
  <dc:creator>user</dc:creator>
  <cp:lastModifiedBy>user</cp:lastModifiedBy>
  <dcterms:modified xsi:type="dcterms:W3CDTF">2023-10-16T08:04:30Z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