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“常乐智享两年期稳健配置净值型人民币理财产品”定期报告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常乐智享两年期稳健配置净值型人民币理财产品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CLZX24MW</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52243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577,224,175.11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1.104867</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1.104867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529,692,205.09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529,692,205.09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14,208,017.40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14,208,017.40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30,016,413.98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7,492,746.47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581,409,382.94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60,945,503.42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60,945,503.42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467,493,620.85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80.99%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1,253,080.82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529,692,205.09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91.77%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22株城04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50,874,989.09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50,705,700.82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49,601,761.40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101900247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19连云港MTN002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40,768,898.95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SS151714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19恒澄01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33,313,389.02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2080043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20泰信债01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31,884,005.41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032001047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20宜兴经开PPN001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31,192,087.20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R014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银行间质押式-逆回购</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30,016,413.98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SS196459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22邳恒01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25,750,000.00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SZ114476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19惠城铁</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23,936,243.15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常熟农商银行-常乐智享两年期稳健配置净值型人民币理财产品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szCs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0"/>
                <w:szCs w:val="20"/>
                <w:lang w:eastAsia="zh-CN"/>
              </w:rPr>
              <w:t>512902284610628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00A425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2023-10-13T02:49:32Z</dcterms:created>
  <dc:creator>user</dc:creator>
  <cp:lastModifiedBy>user</cp:lastModifiedBy>
  <dcterms:modified xsi:type="dcterms:W3CDTF">2023-10-13T02:49:50Z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