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501" w:type="dxa"/>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Layout w:type="fixed"/>
          <w:tblCellMar>
            <w:top w:w="0" w:type="dxa"/>
            <w:left w:w="10" w:type="dxa"/>
            <w:bottom w:w="0" w:type="dxa"/>
            <w:right w:w="10" w:type="dxa"/>
          </w:tblCellMar>
        </w:tblPrEx>
        <w:trPr>
          <w:trHeight w:val="0" w:hRule="atLeast"/>
        </w:trPr>
        <w:tc>
          <w:tcPr>
            <w:tcW w:w="1" w:type="dxa"/>
          </w:tcPr>
          <w:p>
            <w:pPr>
              <w:pStyle w:val="4"/>
            </w:pPr>
            <w:bookmarkStart w:id="0" w:name="JR_PAGE_ANCHOR_0_1"/>
            <w:bookmarkEnd w:id="0"/>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18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“常乐睿享价值精选1号净值型人民币理财产品”定期报告</w:t>
            </w:r>
          </w:p>
        </w:tc>
        <w:tc>
          <w:tcPr>
            <w:tcW w:w="800" w:type="dxa"/>
          </w:tcPr>
          <w:p>
            <w:pPr>
              <w:pStyle w:val="4"/>
            </w:pPr>
          </w:p>
        </w:tc>
      </w:tr>
      <w:tr>
        <w:tblPrEx>
          <w:tblLayout w:type="fixed"/>
          <w:tblCellMar>
            <w:top w:w="0" w:type="dxa"/>
            <w:left w:w="10" w:type="dxa"/>
            <w:bottom w:w="0" w:type="dxa"/>
            <w:right w:w="10" w:type="dxa"/>
          </w:tblCellMar>
        </w:tblPrEx>
        <w:trPr>
          <w:trHeight w:val="7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产品托管人：上海银行常熟支行</w:t>
            </w:r>
          </w:p>
        </w:tc>
        <w:tc>
          <w:tcPr>
            <w:tcW w:w="800" w:type="dxa"/>
          </w:tcPr>
          <w:p>
            <w:pPr>
              <w:pStyle w:val="4"/>
            </w:pPr>
          </w:p>
        </w:tc>
      </w:tr>
      <w:tr>
        <w:tblPrEx>
          <w:tblLayout w:type="fixed"/>
          <w:tblCellMar>
            <w:top w:w="0" w:type="dxa"/>
            <w:left w:w="10" w:type="dxa"/>
            <w:bottom w:w="0" w:type="dxa"/>
            <w:right w:w="10" w:type="dxa"/>
          </w:tblCellMar>
        </w:tblPrEx>
        <w:trPr>
          <w:trHeight w:val="11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tcPr>
            <w:tcW w:w="800" w:type="dxa"/>
          </w:tcPr>
          <w:p>
            <w:pPr>
              <w:pStyle w:val="4"/>
            </w:pPr>
          </w:p>
        </w:tc>
      </w:tr>
      <w:tr>
        <w:tblPrEx>
          <w:tblLayout w:type="fixed"/>
          <w:tblCellMar>
            <w:top w:w="0" w:type="dxa"/>
            <w:left w:w="10" w:type="dxa"/>
            <w:bottom w:w="0" w:type="dxa"/>
            <w:right w:w="10" w:type="dxa"/>
          </w:tblCellMar>
        </w:tblPrEx>
        <w:trPr>
          <w:trHeight w:val="7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tcPr>
            <w:tcW w:w="800" w:type="dxa"/>
          </w:tcPr>
          <w:p>
            <w:pPr>
              <w:pStyle w:val="4"/>
            </w:pPr>
          </w:p>
        </w:tc>
      </w:tr>
      <w:tr>
        <w:tblPrEx>
          <w:tblLayout w:type="fixed"/>
          <w:tblCellMar>
            <w:top w:w="0" w:type="dxa"/>
            <w:left w:w="10" w:type="dxa"/>
            <w:bottom w:w="0" w:type="dxa"/>
            <w:right w:w="10" w:type="dxa"/>
          </w:tblCellMar>
        </w:tblPrEx>
        <w:trPr>
          <w:trHeight w:val="8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常乐睿享价值精选1号净值型人民币理财产品</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CLRXJZ001</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C1115421000020</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权益类</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592</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36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tcW w:w="7100" w:type="dxa"/>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tcPr>
            <w:tcW w:w="800" w:type="dxa"/>
          </w:tcPr>
          <w:p>
            <w:pPr>
              <w:pStyle w:val="4"/>
            </w:pPr>
          </w:p>
        </w:tc>
      </w:tr>
      <w:tr>
        <w:tblPrEx>
          <w:tblLayout w:type="fixed"/>
          <w:tblCellMar>
            <w:top w:w="0" w:type="dxa"/>
            <w:left w:w="10" w:type="dxa"/>
            <w:bottom w:w="0" w:type="dxa"/>
            <w:right w:w="10" w:type="dxa"/>
          </w:tblCellMar>
        </w:tblPrEx>
        <w:trPr>
          <w:trHeight w:val="120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Pr>
          <w:p>
            <w:pPr>
              <w:pStyle w:val="4"/>
            </w:pPr>
          </w:p>
        </w:tc>
        <w:tc>
          <w:tcPr>
            <w:tcW w:w="7300" w:type="dxa"/>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tcPr>
            <w:tcW w:w="800" w:type="dxa"/>
          </w:tcPr>
          <w:p>
            <w:pPr>
              <w:pStyle w:val="4"/>
            </w:pPr>
          </w:p>
        </w:tc>
      </w:tr>
      <w:tr>
        <w:tblPrEx>
          <w:tblLayout w:type="fixed"/>
          <w:tblCellMar>
            <w:top w:w="0" w:type="dxa"/>
            <w:left w:w="10" w:type="dxa"/>
            <w:bottom w:w="0" w:type="dxa"/>
            <w:right w:w="10" w:type="dxa"/>
          </w:tblCellMar>
        </w:tblPrEx>
        <w:trPr>
          <w:trHeight w:val="20" w:hRule="exact"/>
        </w:trPr>
        <w:tc>
          <w:tcPr>
            <w:tcW w:w="1" w:type="dxa"/>
          </w:tcPr>
          <w:p>
            <w:pPr>
              <w:pStyle w:val="4"/>
            </w:pPr>
          </w:p>
        </w:tc>
        <w:tc>
          <w:tcPr>
            <w:tcW w:w="3400" w:type="dxa"/>
            <w:gridSpan w:val="4"/>
          </w:tcPr>
          <w:p>
            <w:pPr>
              <w:pStyle w:val="4"/>
            </w:pPr>
          </w:p>
        </w:tc>
        <w:tc>
          <w:tcPr>
            <w:tcW w:w="200" w:type="dxa"/>
          </w:tcPr>
          <w:p>
            <w:pPr>
              <w:pStyle w:val="4"/>
            </w:pPr>
          </w:p>
        </w:tc>
        <w:tc>
          <w:tcPr>
            <w:tcW w:w="7100" w:type="dxa"/>
            <w:gridSpan w:val="8"/>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6,097,854.57</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1.029276</w:t>
            </w:r>
          </w:p>
        </w:tc>
        <w:tc>
          <w:tcPr>
            <w:tcW w:w="800" w:type="dxa"/>
          </w:tcPr>
          <w:p>
            <w:pPr>
              <w:pStyle w:val="4"/>
            </w:pPr>
          </w:p>
        </w:tc>
      </w:tr>
      <w:tr>
        <w:tblPrEx>
          <w:tblLayout w:type="fixed"/>
          <w:tblCellMar>
            <w:top w:w="0" w:type="dxa"/>
            <w:left w:w="10" w:type="dxa"/>
            <w:bottom w:w="0" w:type="dxa"/>
            <w:right w:w="10" w:type="dxa"/>
          </w:tblCellMar>
        </w:tblPrEx>
        <w:trPr>
          <w:trHeight w:val="440" w:hRule="exact"/>
        </w:trPr>
        <w:tc>
          <w:tcPr>
            <w:tcW w:w="1" w:type="dxa"/>
          </w:tcPr>
          <w:p>
            <w:pPr>
              <w:pStyle w:val="4"/>
            </w:pP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tcW w:w="7300" w:type="dxa"/>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1.029276</w:t>
            </w:r>
          </w:p>
        </w:tc>
        <w:tc>
          <w:tcPr>
            <w:tcW w:w="800" w:type="dxa"/>
          </w:tcPr>
          <w:p>
            <w:pPr>
              <w:pStyle w:val="4"/>
            </w:pPr>
          </w:p>
        </w:tc>
      </w:tr>
      <w:tr>
        <w:tblPrEx>
          <w:tblLayout w:type="fixed"/>
          <w:tblCellMar>
            <w:top w:w="0" w:type="dxa"/>
            <w:left w:w="10" w:type="dxa"/>
            <w:bottom w:w="0" w:type="dxa"/>
            <w:right w:w="10" w:type="dxa"/>
          </w:tblCellMar>
        </w:tblPrEx>
        <w:trPr>
          <w:trHeight w:val="0" w:hRule="atLeast"/>
        </w:trPr>
        <w:tc>
          <w:tcPr>
            <w:tcW w:w="1" w:type="dxa"/>
          </w:tcPr>
          <w:p>
            <w:pPr>
              <w:pStyle w:val="4"/>
              <w:pageBreakBefore/>
            </w:pPr>
            <w:bookmarkStart w:id="1" w:name="JR_PAGE_ANCHOR_0_2"/>
            <w:bookmarkEnd w:id="1"/>
          </w:p>
        </w:tc>
        <w:tc>
          <w:tcPr>
            <w:tcW w:w="800" w:type="dxa"/>
          </w:tcPr>
          <w:p>
            <w:pPr>
              <w:pStyle w:val="4"/>
            </w:pPr>
          </w:p>
        </w:tc>
        <w:tc>
          <w:tcPr>
            <w:tcW w:w="3200" w:type="dxa"/>
            <w:gridSpan w:val="5"/>
          </w:tcPr>
          <w:p>
            <w:pPr>
              <w:pStyle w:val="4"/>
            </w:pPr>
          </w:p>
        </w:tc>
        <w:tc>
          <w:tcPr>
            <w:tcW w:w="20" w:type="dxa"/>
          </w:tcPr>
          <w:p>
            <w:pPr>
              <w:pStyle w:val="4"/>
            </w:pPr>
          </w:p>
        </w:tc>
        <w:tc>
          <w:tcPr>
            <w:tcW w:w="3380" w:type="dxa"/>
            <w:gridSpan w:val="3"/>
          </w:tcPr>
          <w:p>
            <w:pPr>
              <w:pStyle w:val="4"/>
            </w:pPr>
          </w:p>
        </w:tc>
        <w:tc>
          <w:tcPr>
            <w:tcW w:w="220" w:type="dxa"/>
          </w:tcPr>
          <w:p>
            <w:pPr>
              <w:pStyle w:val="4"/>
            </w:pPr>
          </w:p>
        </w:tc>
        <w:tc>
          <w:tcPr>
            <w:tcW w:w="3080" w:type="dxa"/>
            <w:gridSpan w:val="2"/>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5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5,527,032.63</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82.30%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5,527,032.63</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82.30%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1,188,750.43</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17.70%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tcW w:w="3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tcW w:w="34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6,715,783.06</w:t>
            </w:r>
          </w:p>
        </w:tc>
        <w:tc>
          <w:tcPr>
            <w:tcW w:w="33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tcPr>
            <w:tcW w:w="800" w:type="dxa"/>
          </w:tcPr>
          <w:p>
            <w:pPr>
              <w:pStyle w:val="4"/>
            </w:pPr>
          </w:p>
        </w:tc>
      </w:tr>
      <w:tr>
        <w:tblPrEx>
          <w:tblLayout w:type="fixed"/>
          <w:tblCellMar>
            <w:top w:w="0" w:type="dxa"/>
            <w:left w:w="10" w:type="dxa"/>
            <w:bottom w:w="0" w:type="dxa"/>
            <w:right w:w="10" w:type="dxa"/>
          </w:tblCellMar>
        </w:tblPrEx>
        <w:trPr>
          <w:trHeight w:val="2000" w:hRule="exact"/>
        </w:trPr>
        <w:tc>
          <w:tcPr>
            <w:tcW w:w="1" w:type="dxa"/>
          </w:tcPr>
          <w:p>
            <w:pPr>
              <w:pStyle w:val="4"/>
            </w:pPr>
          </w:p>
        </w:tc>
        <w:tc>
          <w:tcPr>
            <w:tcW w:w="800" w:type="dxa"/>
          </w:tcPr>
          <w:p>
            <w:pPr>
              <w:pStyle w:val="4"/>
            </w:pPr>
          </w:p>
        </w:tc>
        <w:tc>
          <w:tcPr>
            <w:tcW w:w="3200" w:type="dxa"/>
            <w:gridSpan w:val="5"/>
          </w:tcPr>
          <w:p>
            <w:pPr>
              <w:pStyle w:val="4"/>
            </w:pPr>
          </w:p>
        </w:tc>
        <w:tc>
          <w:tcPr>
            <w:tcW w:w="20" w:type="dxa"/>
          </w:tcPr>
          <w:p>
            <w:pPr>
              <w:pStyle w:val="4"/>
            </w:pPr>
          </w:p>
        </w:tc>
        <w:tc>
          <w:tcPr>
            <w:tcW w:w="3380" w:type="dxa"/>
            <w:gridSpan w:val="3"/>
          </w:tcPr>
          <w:p>
            <w:pPr>
              <w:pStyle w:val="4"/>
            </w:pPr>
          </w:p>
        </w:tc>
        <w:tc>
          <w:tcPr>
            <w:tcW w:w="220" w:type="dxa"/>
          </w:tcPr>
          <w:p>
            <w:pPr>
              <w:pStyle w:val="4"/>
            </w:pPr>
          </w:p>
        </w:tc>
        <w:tc>
          <w:tcPr>
            <w:tcW w:w="3080" w:type="dxa"/>
            <w:gridSpan w:val="2"/>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tcW w:w="3220" w:type="dxa"/>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tcW w:w="3600" w:type="dxa"/>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308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tcW w:w="800" w:type="dxa"/>
          </w:tcPr>
          <w:p>
            <w:pPr>
              <w:pStyle w:val="4"/>
            </w:pPr>
          </w:p>
        </w:tc>
      </w:tr>
      <w:tr>
        <w:tblPrEx>
          <w:tblLayout w:type="fixed"/>
          <w:tblCellMar>
            <w:top w:w="0" w:type="dxa"/>
            <w:left w:w="10" w:type="dxa"/>
            <w:bottom w:w="0" w:type="dxa"/>
            <w:right w:w="10" w:type="dxa"/>
          </w:tblCellMar>
        </w:tblPrEx>
        <w:trPr>
          <w:trHeight w:val="0" w:hRule="atLeast"/>
        </w:trPr>
        <w:tc>
          <w:tcPr>
            <w:tcW w:w="1" w:type="dxa"/>
          </w:tcPr>
          <w:p>
            <w:pPr>
              <w:pStyle w:val="4"/>
              <w:pageBreakBefore/>
            </w:pPr>
            <w:bookmarkStart w:id="2" w:name="JR_PAGE_ANCHOR_0_3"/>
            <w:bookmarkEnd w:id="2"/>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2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166005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中欧价值发现混合A</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157,838.99</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510,593.35</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8.37%</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001917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招商量化精选股票A</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142,312.49</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507,443.65</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8.32%</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013403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华夏恒生科技ETF发起式联接(QDII)C</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624,979.88</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488,359.28</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8.01%</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004423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华商研究精选灵活配置A</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98,974.63</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413,219.08</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6.78%</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007466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华泰柏瑞中证红利低波ETF联接A</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241,402.16</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402,151.86</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6.59%</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001725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汇添富高端制造股票A</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131,295.50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395,724.64</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6.49%</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003293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易方达科瑞混合</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169,482.55</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393,419.84</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6.45%</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450004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国富深化价值混合</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179,025.14</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372,855.66</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6.11%</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001630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天弘中证计算机主题ETF联接C</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431,832.20</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338,513.26</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5.55%</w:t>
            </w:r>
          </w:p>
        </w:tc>
        <w:tc>
          <w:tcPr>
            <w:tcW w:w="800" w:type="dxa"/>
          </w:tcPr>
          <w:p>
            <w:pPr>
              <w:pStyle w:val="4"/>
            </w:pPr>
          </w:p>
        </w:tc>
      </w:tr>
      <w:tr>
        <w:tblPrEx>
          <w:tblLayout w:type="fixed"/>
          <w:tblCellMar>
            <w:top w:w="0" w:type="dxa"/>
            <w:left w:w="10" w:type="dxa"/>
            <w:bottom w:w="0" w:type="dxa"/>
            <w:right w:w="10" w:type="dxa"/>
          </w:tblCellMar>
        </w:tblPrEx>
        <w:trPr>
          <w:trHeight w:val="600" w:hRule="exact"/>
        </w:trPr>
        <w:tc>
          <w:tcPr>
            <w:tcW w:w="1" w:type="dxa"/>
          </w:tcPr>
          <w:p>
            <w:pPr>
              <w:pStyle w:val="4"/>
            </w:pPr>
          </w:p>
        </w:tc>
        <w:tc>
          <w:tcPr>
            <w:tcW w:w="8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tcW w:w="2000" w:type="dxa"/>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001186                          </w:t>
            </w:r>
          </w:p>
        </w:tc>
        <w:tc>
          <w:tcPr>
            <w:tcW w:w="2200" w:type="dxa"/>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富国文体健康股票A</w:t>
            </w:r>
          </w:p>
        </w:tc>
        <w:tc>
          <w:tcPr>
            <w:tcW w:w="20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115,663.09</w:t>
            </w:r>
          </w:p>
        </w:tc>
        <w:tc>
          <w:tcPr>
            <w:tcW w:w="2000" w:type="dxa"/>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325,244.61</w:t>
            </w:r>
          </w:p>
        </w:tc>
        <w:tc>
          <w:tcPr>
            <w:tcW w:w="1700" w:type="dxa"/>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5.33%</w:t>
            </w:r>
          </w:p>
        </w:tc>
        <w:tc>
          <w:tcPr>
            <w:tcW w:w="800" w:type="dxa"/>
          </w:tcPr>
          <w:p>
            <w:pPr>
              <w:pStyle w:val="4"/>
            </w:pPr>
          </w:p>
        </w:tc>
      </w:tr>
      <w:tr>
        <w:tblPrEx>
          <w:tblLayout w:type="fixed"/>
          <w:tblCellMar>
            <w:top w:w="0" w:type="dxa"/>
            <w:left w:w="10" w:type="dxa"/>
            <w:bottom w:w="0" w:type="dxa"/>
            <w:right w:w="10" w:type="dxa"/>
          </w:tblCellMar>
        </w:tblPrEx>
        <w:trPr>
          <w:trHeight w:val="580" w:hRule="exact"/>
        </w:trPr>
        <w:tc>
          <w:tcPr>
            <w:tcW w:w="1" w:type="dxa"/>
          </w:tcPr>
          <w:p>
            <w:pPr>
              <w:pStyle w:val="4"/>
            </w:pPr>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w:t>
            </w:r>
            <w:r>
              <w:rPr>
                <w:rFonts w:hint="default" w:ascii="原版宋体" w:hAnsi="原版宋体" w:eastAsia="原版宋体" w:cs="原版宋体"/>
                <w:color w:val="000000"/>
                <w:sz w:val="20"/>
                <w:lang w:val="en-US" w:eastAsia="zh-CN"/>
              </w:rPr>
              <w:t>期内理财产品投资策略和运作分析</w:t>
            </w:r>
          </w:p>
        </w:tc>
        <w:tc>
          <w:tcPr>
            <w:tcW w:w="800" w:type="dxa"/>
          </w:tcPr>
          <w:p>
            <w:pPr>
              <w:pStyle w:val="4"/>
            </w:pPr>
          </w:p>
        </w:tc>
      </w:tr>
      <w:tr>
        <w:tblPrEx>
          <w:tblLayout w:type="fixed"/>
          <w:tblCellMar>
            <w:top w:w="0" w:type="dxa"/>
            <w:left w:w="10" w:type="dxa"/>
            <w:bottom w:w="0" w:type="dxa"/>
            <w:right w:w="10" w:type="dxa"/>
          </w:tblCellMar>
        </w:tblPrEx>
        <w:trPr>
          <w:trHeight w:val="2029"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w:t>
            </w:r>
            <w:r>
              <w:rPr>
                <w:rFonts w:hint="eastAsia" w:ascii="原版宋体" w:hAnsi="原版宋体" w:eastAsia="原版宋体" w:cs="原版宋体"/>
                <w:color w:val="000000"/>
                <w:sz w:val="20"/>
              </w:rPr>
              <w:t>一季度，A股在快速冲高后受到地缘政治事件影响回吐涨幅，本产品随市场整体走势出现小幅负收益。操作方面，本产品在一季度小幅降低了仓位并加入了部分红利资产，寻求更为均衡稳健的配置。长期来看A股慢牛趋势不变，但当前估值处于较贵位置是不争的事实，我们将继续等待市场回撤带来的加仓</w:t>
            </w:r>
            <w:bookmarkStart w:id="3" w:name="_GoBack"/>
            <w:bookmarkEnd w:id="3"/>
            <w:r>
              <w:rPr>
                <w:rFonts w:hint="eastAsia" w:ascii="原版宋体" w:hAnsi="原版宋体" w:eastAsia="原版宋体" w:cs="原版宋体"/>
                <w:color w:val="000000"/>
                <w:sz w:val="20"/>
              </w:rPr>
              <w:t>机会，在合理的估值水平下重新回归满仓运作。</w:t>
            </w:r>
          </w:p>
        </w:tc>
        <w:tc>
          <w:tcPr>
            <w:tcW w:w="800" w:type="dxa"/>
          </w:tcPr>
          <w:p>
            <w:pPr>
              <w:pStyle w:val="4"/>
            </w:pPr>
          </w:p>
        </w:tc>
      </w:tr>
      <w:tr>
        <w:tblPrEx>
          <w:tblLayout w:type="fixed"/>
          <w:tblCellMar>
            <w:top w:w="0" w:type="dxa"/>
            <w:left w:w="10" w:type="dxa"/>
            <w:bottom w:w="0" w:type="dxa"/>
            <w:right w:w="10" w:type="dxa"/>
          </w:tblCellMar>
        </w:tblPrEx>
        <w:trPr>
          <w:trHeight w:val="1020" w:hRule="exact"/>
        </w:trPr>
        <w:tc>
          <w:tcPr>
            <w:tcW w:w="1" w:type="dxa"/>
          </w:tcPr>
          <w:p>
            <w:pPr>
              <w:pStyle w:val="4"/>
            </w:pPr>
          </w:p>
        </w:tc>
        <w:tc>
          <w:tcPr>
            <w:tcW w:w="800" w:type="dxa"/>
          </w:tcPr>
          <w:p>
            <w:pPr>
              <w:pStyle w:val="4"/>
            </w:pPr>
          </w:p>
        </w:tc>
        <w:tc>
          <w:tcPr>
            <w:tcW w:w="2000" w:type="dxa"/>
            <w:gridSpan w:val="2"/>
          </w:tcPr>
          <w:p>
            <w:pPr>
              <w:pStyle w:val="4"/>
            </w:pPr>
          </w:p>
        </w:tc>
        <w:tc>
          <w:tcPr>
            <w:tcW w:w="2200" w:type="dxa"/>
            <w:gridSpan w:val="5"/>
          </w:tcPr>
          <w:p>
            <w:pPr>
              <w:pStyle w:val="4"/>
            </w:pPr>
          </w:p>
        </w:tc>
        <w:tc>
          <w:tcPr>
            <w:tcW w:w="2000" w:type="dxa"/>
          </w:tcPr>
          <w:p>
            <w:pPr>
              <w:pStyle w:val="4"/>
            </w:pPr>
          </w:p>
        </w:tc>
        <w:tc>
          <w:tcPr>
            <w:tcW w:w="2000" w:type="dxa"/>
            <w:gridSpan w:val="3"/>
          </w:tcPr>
          <w:p>
            <w:pPr>
              <w:pStyle w:val="4"/>
            </w:pPr>
          </w:p>
        </w:tc>
        <w:tc>
          <w:tcPr>
            <w:tcW w:w="1700" w:type="dxa"/>
          </w:tcPr>
          <w:p>
            <w:pPr>
              <w:pStyle w:val="4"/>
            </w:pP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 xml:space="preserve">常熟农商银行常乐睿享价值精选1号净值型人民币理财产品 </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03004741257</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上海银行股份有限公司常熟支行</w:t>
            </w:r>
          </w:p>
        </w:tc>
        <w:tc>
          <w:tcPr>
            <w:tcW w:w="800" w:type="dxa"/>
            <w:vAlign w:val="top"/>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tcPr>
            <w:tcW w:w="800" w:type="dxa"/>
          </w:tcPr>
          <w:p>
            <w:pPr>
              <w:pStyle w:val="4"/>
            </w:pPr>
          </w:p>
        </w:tc>
      </w:tr>
      <w:tr>
        <w:tblPrEx>
          <w:tblLayout w:type="fixed"/>
          <w:tblCellMar>
            <w:top w:w="0" w:type="dxa"/>
            <w:left w:w="10" w:type="dxa"/>
            <w:bottom w:w="0" w:type="dxa"/>
            <w:right w:w="10" w:type="dxa"/>
          </w:tblCellMar>
        </w:tblPrEx>
        <w:trPr>
          <w:trHeight w:val="400" w:hRule="exact"/>
        </w:trPr>
        <w:tc>
          <w:tcPr>
            <w:tcW w:w="1" w:type="dxa"/>
          </w:tcPr>
          <w:p>
            <w:pPr>
              <w:pStyle w:val="4"/>
            </w:pPr>
          </w:p>
        </w:tc>
        <w:tc>
          <w:tcPr>
            <w:tcW w:w="10700" w:type="dxa"/>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tcPr>
            <w:tcW w:w="800" w:type="dxa"/>
          </w:tcPr>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原版宋体">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val="1"/>
  <w:bordersDoNotSurroundHeader w:val="0"/>
  <w:bordersDoNotSurroundFooter w:val="0"/>
  <w:documentProtection w:enforcement="0"/>
  <w:defaultTabStop w:val="800"/>
  <w:displayHorizontalDrawingGridEvery w:val="0"/>
  <w:displayVerticalDrawingGridEvery w:val="2"/>
  <w:compat>
    <w:balanceSingleByteDoubleByteWidth/>
    <w:doNotExpandShiftReturn/>
    <w:adjustLineHeightInTable/>
    <w:doNotWrapTextWithPunct/>
    <w:doNotUseEastAsianBreakRules/>
    <w:useFELayout/>
    <w:doNotUseIndentAsNumberingTabStop/>
    <w:splitPgBreakAndParaMark/>
    <w:compatSetting w:name="compatibilityMode" w:uri="http://schemas.microsoft.com/office/word" w:val="12"/>
  </w:compat>
  <w:rsids>
    <w:rsidRoot w:val="00172A27"/>
    <w:rsid w:val="1E275150"/>
    <w:rsid w:val="3B3B6CE9"/>
    <w:rsid w:val="77AA05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1</TotalTime>
  <ScaleCrop>false</ScaleCrop>
  <LinksUpToDate>false</LinksUpToDate>
  <Application>WPS Office_11.8.2.8696_F1E327BC-269C-435d-A152-05C5408002CA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2026-04-02T06:16:00Z</dcterms:created>
  <dc:creator>n</dc:creator>
  <cp:lastModifiedBy>crcb</cp:lastModifiedBy>
  <dcterms:modified xsi:type="dcterms:W3CDTF">2026-04-13T07:31:35Z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44B5C099A28240F3BE496E1761993AC5</vt:lpwstr>
  </property>
</Properties>
</file>