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501" w:type="dxa"/>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Layout w:type="fixed"/>
          <w:tblCellMar>
            <w:top w:w="0" w:type="dxa"/>
            <w:left w:w="10" w:type="dxa"/>
            <w:bottom w:w="0" w:type="dxa"/>
            <w:right w:w="10" w:type="dxa"/>
          </w:tblCellMar>
        </w:tblPrEx>
        <w:trPr>
          <w:trHeight w:val="0" w:hRule="atLeast"/>
        </w:trPr>
        <w:tc>
          <w:tcPr>
            <w:tcW w:w="1" w:type="dxa"/>
          </w:tcPr>
          <w:p>
            <w:pPr>
              <w:pStyle w:val="4"/>
            </w:pPr>
            <w:bookmarkStart w:id="0" w:name="JR_PAGE_ANCHOR_0_1"/>
            <w:bookmarkEnd w:id="0"/>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18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“常乐智享六个月A款净值型理财产品”定期报告</w:t>
            </w:r>
          </w:p>
        </w:tc>
        <w:tc>
          <w:tcPr>
            <w:tcW w:w="800" w:type="dxa"/>
          </w:tcPr>
          <w:p>
            <w:pPr>
              <w:pStyle w:val="4"/>
            </w:pPr>
          </w:p>
        </w:tc>
      </w:tr>
      <w:tr>
        <w:tblPrEx>
          <w:tblLayout w:type="fixed"/>
          <w:tblCellMar>
            <w:top w:w="0" w:type="dxa"/>
            <w:left w:w="10" w:type="dxa"/>
            <w:bottom w:w="0" w:type="dxa"/>
            <w:right w:w="10" w:type="dxa"/>
          </w:tblCellMar>
        </w:tblPrEx>
        <w:trPr>
          <w:trHeight w:val="7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w:t>
            </w:r>
          </w:p>
        </w:tc>
        <w:tc>
          <w:tcPr>
            <w:tcW w:w="800" w:type="dxa"/>
          </w:tcPr>
          <w:p>
            <w:pPr>
              <w:pStyle w:val="4"/>
            </w:pPr>
          </w:p>
        </w:tc>
      </w:tr>
      <w:tr>
        <w:tblPrEx>
          <w:tblLayout w:type="fixed"/>
          <w:tblCellMar>
            <w:top w:w="0" w:type="dxa"/>
            <w:left w:w="10" w:type="dxa"/>
            <w:bottom w:w="0" w:type="dxa"/>
            <w:right w:w="10" w:type="dxa"/>
          </w:tblCellMar>
        </w:tblPrEx>
        <w:trPr>
          <w:trHeight w:val="11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tcPr>
            <w:tcW w:w="800" w:type="dxa"/>
          </w:tcPr>
          <w:p>
            <w:pPr>
              <w:pStyle w:val="4"/>
            </w:pPr>
          </w:p>
        </w:tc>
      </w:tr>
      <w:tr>
        <w:tblPrEx>
          <w:tblLayout w:type="fixed"/>
          <w:tblCellMar>
            <w:top w:w="0" w:type="dxa"/>
            <w:left w:w="10" w:type="dxa"/>
            <w:bottom w:w="0" w:type="dxa"/>
            <w:right w:w="10" w:type="dxa"/>
          </w:tblCellMar>
        </w:tblPrEx>
        <w:trPr>
          <w:trHeight w:val="7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tcPr>
            <w:tcW w:w="800" w:type="dxa"/>
          </w:tcPr>
          <w:p>
            <w:pPr>
              <w:pStyle w:val="4"/>
            </w:pPr>
          </w:p>
        </w:tc>
      </w:tr>
      <w:tr>
        <w:tblPrEx>
          <w:tblLayout w:type="fixed"/>
          <w:tblCellMar>
            <w:top w:w="0" w:type="dxa"/>
            <w:left w:w="10" w:type="dxa"/>
            <w:bottom w:w="0" w:type="dxa"/>
            <w:right w:w="10" w:type="dxa"/>
          </w:tblCellMar>
        </w:tblPrEx>
        <w:trPr>
          <w:trHeight w:val="8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常乐智享六个月A款净值型理财产品</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CLZXA6M</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C1115421000005</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175969</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tcPr>
            <w:tcW w:w="800" w:type="dxa"/>
          </w:tcPr>
          <w:p>
            <w:pPr>
              <w:pStyle w:val="4"/>
            </w:pPr>
          </w:p>
        </w:tc>
      </w:tr>
      <w:tr>
        <w:tblPrEx>
          <w:tblLayout w:type="fixed"/>
          <w:tblCellMar>
            <w:top w:w="0" w:type="dxa"/>
            <w:left w:w="10" w:type="dxa"/>
            <w:bottom w:w="0" w:type="dxa"/>
            <w:right w:w="10" w:type="dxa"/>
          </w:tblCellMar>
        </w:tblPrEx>
        <w:trPr>
          <w:trHeight w:val="12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Pr>
          <w:p>
            <w:pPr>
              <w:pStyle w:val="4"/>
            </w:pPr>
          </w:p>
        </w:tc>
        <w:tc>
          <w:tcPr>
            <w:tcW w:w="7300" w:type="dxa"/>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tcPr>
            <w:tcW w:w="800" w:type="dxa"/>
          </w:tcPr>
          <w:p>
            <w:pPr>
              <w:pStyle w:val="4"/>
            </w:pPr>
          </w:p>
        </w:tc>
      </w:tr>
      <w:tr>
        <w:tblPrEx>
          <w:tblLayout w:type="fixed"/>
          <w:tblCellMar>
            <w:top w:w="0" w:type="dxa"/>
            <w:left w:w="10" w:type="dxa"/>
            <w:bottom w:w="0" w:type="dxa"/>
            <w:right w:w="10" w:type="dxa"/>
          </w:tblCellMar>
        </w:tblPrEx>
        <w:trPr>
          <w:trHeight w:val="2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2,110,599,785.89</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1.199415</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1.199415</w:t>
            </w:r>
          </w:p>
        </w:tc>
        <w:tc>
          <w:tcPr>
            <w:tcW w:w="800" w:type="dxa"/>
          </w:tcPr>
          <w:p>
            <w:pPr>
              <w:pStyle w:val="4"/>
            </w:pPr>
          </w:p>
        </w:tc>
      </w:tr>
      <w:tr>
        <w:tblPrEx>
          <w:tblLayout w:type="fixed"/>
          <w:tblCellMar>
            <w:top w:w="0" w:type="dxa"/>
            <w:left w:w="10" w:type="dxa"/>
            <w:bottom w:w="0" w:type="dxa"/>
            <w:right w:w="10" w:type="dxa"/>
          </w:tblCellMar>
        </w:tblPrEx>
        <w:trPr>
          <w:trHeight w:val="0" w:hRule="atLeast"/>
        </w:trPr>
        <w:tc>
          <w:tcPr>
            <w:tcW w:w="1" w:type="dxa"/>
          </w:tcPr>
          <w:p>
            <w:pPr>
              <w:pStyle w:val="4"/>
              <w:pageBreakBefore/>
            </w:pPr>
            <w:bookmarkStart w:id="1" w:name="JR_PAGE_ANCHOR_0_2"/>
            <w:bookmarkEnd w:id="1"/>
          </w:p>
        </w:tc>
        <w:tc>
          <w:tcPr>
            <w:tcW w:w="800" w:type="dxa"/>
          </w:tcPr>
          <w:p>
            <w:pPr>
              <w:pStyle w:val="4"/>
            </w:pPr>
          </w:p>
        </w:tc>
        <w:tc>
          <w:tcPr>
            <w:tcW w:w="3200" w:type="dxa"/>
            <w:gridSpan w:val="5"/>
          </w:tcPr>
          <w:p>
            <w:pPr>
              <w:pStyle w:val="4"/>
            </w:pPr>
          </w:p>
        </w:tc>
        <w:tc>
          <w:tcPr>
            <w:tcW w:w="20" w:type="dxa"/>
          </w:tcPr>
          <w:p>
            <w:pPr>
              <w:pStyle w:val="4"/>
            </w:pPr>
          </w:p>
        </w:tc>
        <w:tc>
          <w:tcPr>
            <w:tcW w:w="3380" w:type="dxa"/>
            <w:gridSpan w:val="3"/>
          </w:tcPr>
          <w:p>
            <w:pPr>
              <w:pStyle w:val="4"/>
            </w:pPr>
          </w:p>
        </w:tc>
        <w:tc>
          <w:tcPr>
            <w:tcW w:w="220" w:type="dxa"/>
          </w:tcPr>
          <w:p>
            <w:pPr>
              <w:pStyle w:val="4"/>
            </w:pPr>
          </w:p>
        </w:tc>
        <w:tc>
          <w:tcPr>
            <w:tcW w:w="3080" w:type="dxa"/>
            <w:gridSpan w:val="2"/>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2,256,864,958.06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99.30%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2,256,864,958.06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99.30%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9,578,219.85</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0.42%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9,578,219.85</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0.42%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6,414,002.17</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0.28%</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2,272,857,180.08</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tcPr>
            <w:tcW w:w="800" w:type="dxa"/>
          </w:tcPr>
          <w:p>
            <w:pPr>
              <w:pStyle w:val="4"/>
            </w:pPr>
          </w:p>
        </w:tc>
      </w:tr>
      <w:tr>
        <w:tblPrEx>
          <w:tblLayout w:type="fixed"/>
          <w:tblCellMar>
            <w:top w:w="0" w:type="dxa"/>
            <w:left w:w="10" w:type="dxa"/>
            <w:bottom w:w="0" w:type="dxa"/>
            <w:right w:w="10" w:type="dxa"/>
          </w:tblCellMar>
        </w:tblPrEx>
        <w:trPr>
          <w:trHeight w:val="2000" w:hRule="exact"/>
        </w:trPr>
        <w:tc>
          <w:tcPr>
            <w:tcW w:w="1" w:type="dxa"/>
          </w:tcPr>
          <w:p>
            <w:pPr>
              <w:pStyle w:val="4"/>
            </w:pPr>
          </w:p>
        </w:tc>
        <w:tc>
          <w:tcPr>
            <w:tcW w:w="800" w:type="dxa"/>
          </w:tcPr>
          <w:p>
            <w:pPr>
              <w:pStyle w:val="4"/>
            </w:pPr>
          </w:p>
        </w:tc>
        <w:tc>
          <w:tcPr>
            <w:tcW w:w="3200" w:type="dxa"/>
            <w:gridSpan w:val="5"/>
          </w:tcPr>
          <w:p>
            <w:pPr>
              <w:pStyle w:val="4"/>
            </w:pPr>
          </w:p>
        </w:tc>
        <w:tc>
          <w:tcPr>
            <w:tcW w:w="20" w:type="dxa"/>
          </w:tcPr>
          <w:p>
            <w:pPr>
              <w:pStyle w:val="4"/>
            </w:pPr>
          </w:p>
        </w:tc>
        <w:tc>
          <w:tcPr>
            <w:tcW w:w="3380" w:type="dxa"/>
            <w:gridSpan w:val="3"/>
          </w:tcPr>
          <w:p>
            <w:pPr>
              <w:pStyle w:val="4"/>
            </w:pPr>
          </w:p>
        </w:tc>
        <w:tc>
          <w:tcPr>
            <w:tcW w:w="220" w:type="dxa"/>
          </w:tcPr>
          <w:p>
            <w:pPr>
              <w:pStyle w:val="4"/>
            </w:pPr>
          </w:p>
        </w:tc>
        <w:tc>
          <w:tcPr>
            <w:tcW w:w="3080" w:type="dxa"/>
            <w:gridSpan w:val="2"/>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748,269,371.93</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35.45%</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395,355,316.30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18.73%</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1,508,595,586.13</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71.48%</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2,256,864,958.06</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106.93%</w:t>
            </w:r>
          </w:p>
        </w:tc>
        <w:tc>
          <w:tcPr>
            <w:tcW w:w="800" w:type="dxa"/>
          </w:tcPr>
          <w:p>
            <w:pPr>
              <w:pStyle w:val="4"/>
            </w:pPr>
          </w:p>
        </w:tc>
      </w:tr>
      <w:tr>
        <w:tblPrEx>
          <w:tblLayout w:type="fixed"/>
          <w:tblCellMar>
            <w:top w:w="0" w:type="dxa"/>
            <w:left w:w="10" w:type="dxa"/>
            <w:bottom w:w="0" w:type="dxa"/>
            <w:right w:w="10" w:type="dxa"/>
          </w:tblCellMar>
        </w:tblPrEx>
        <w:trPr>
          <w:trHeight w:val="0" w:hRule="atLeast"/>
        </w:trPr>
        <w:tc>
          <w:tcPr>
            <w:tcW w:w="1" w:type="dxa"/>
          </w:tcPr>
          <w:p>
            <w:pPr>
              <w:pStyle w:val="4"/>
              <w:pageBreakBefore/>
            </w:pPr>
            <w:bookmarkStart w:id="2" w:name="JR_PAGE_ANCHOR_0_3"/>
            <w:bookmarkEnd w:id="2"/>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220203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22国开03</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131,798,250.82</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6.24%</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91,383,822.74</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4.33%</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SS194545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22安控02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82,189,344.66</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3.89%</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240403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24农发03</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70,545,205.07</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3.34%</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032101080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21武侯产业PPN001</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63,000,000.00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64,023,359.92</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3.03%</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SZ133329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22九城02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63,754,060.59</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3.02%</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SZ149563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21广发06</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61,786,510.69</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2.93%</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SS114188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22宜兴03</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52,981,769.87</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2.51%</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SS182391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22杭湾01</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52,502,814.39</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2.49%</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SS178458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21嵊州02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52,435,082.71</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2.48%</w:t>
            </w:r>
          </w:p>
        </w:tc>
        <w:tc>
          <w:tcPr>
            <w:tcW w:w="800" w:type="dxa"/>
          </w:tcPr>
          <w:p>
            <w:pPr>
              <w:pStyle w:val="4"/>
            </w:pPr>
          </w:p>
        </w:tc>
      </w:tr>
      <w:tr>
        <w:tblPrEx>
          <w:tblLayout w:type="fixed"/>
          <w:tblCellMar>
            <w:top w:w="0" w:type="dxa"/>
            <w:left w:w="10" w:type="dxa"/>
            <w:bottom w:w="0" w:type="dxa"/>
            <w:right w:w="10" w:type="dxa"/>
          </w:tblCellMar>
        </w:tblPrEx>
        <w:trPr>
          <w:trHeight w:val="580" w:hRule="exact"/>
        </w:trPr>
        <w:tc>
          <w:tcPr>
            <w:tcW w:w="1" w:type="dxa"/>
          </w:tcPr>
          <w:p>
            <w:pPr>
              <w:pStyle w:val="4"/>
            </w:pPr>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tcPr>
            <w:tcW w:w="800" w:type="dxa"/>
          </w:tcPr>
          <w:p>
            <w:pPr>
              <w:pStyle w:val="4"/>
            </w:pPr>
          </w:p>
        </w:tc>
      </w:tr>
      <w:tr>
        <w:tblPrEx>
          <w:tblLayout w:type="fixed"/>
          <w:tblCellMar>
            <w:top w:w="0" w:type="dxa"/>
            <w:left w:w="10" w:type="dxa"/>
            <w:bottom w:w="0" w:type="dxa"/>
            <w:right w:w="10" w:type="dxa"/>
          </w:tblCellMar>
        </w:tblPrEx>
        <w:trPr>
          <w:trHeight w:val="12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tcPr>
            <w:tcW w:w="800" w:type="dxa"/>
          </w:tcPr>
          <w:p>
            <w:pPr>
              <w:pStyle w:val="4"/>
            </w:pPr>
          </w:p>
        </w:tc>
      </w:tr>
      <w:tr>
        <w:tblPrEx>
          <w:tblLayout w:type="fixed"/>
          <w:tblCellMar>
            <w:top w:w="0" w:type="dxa"/>
            <w:left w:w="10" w:type="dxa"/>
            <w:bottom w:w="0" w:type="dxa"/>
            <w:right w:w="10" w:type="dxa"/>
          </w:tblCellMar>
        </w:tblPrEx>
        <w:trPr>
          <w:trHeight w:val="1020" w:hRule="exact"/>
        </w:trPr>
        <w:tc>
          <w:tcPr>
            <w:tcW w:w="1" w:type="dxa"/>
          </w:tcPr>
          <w:p>
            <w:pPr>
              <w:pStyle w:val="4"/>
            </w:pPr>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常熟农商银行-常乐智享六个月A款净值型理财产品</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512902284610722</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rPr>
                <w:rFonts w:ascii="原版宋体" w:hAnsi="原版宋体" w:eastAsia="原版宋体" w:cs="原版宋体"/>
                <w:color w:val="000000"/>
                <w:sz w:val="20"/>
              </w:rPr>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left"/>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 xml:space="preserve">6  </w:t>
            </w:r>
            <w:r>
              <w:rPr>
                <w:rFonts w:hint="eastAsia" w:ascii="原版宋体" w:hAnsi="原版宋体" w:eastAsia="原版宋体" w:cs="原版宋体"/>
                <w:b/>
                <w:color w:val="000000"/>
                <w:sz w:val="20"/>
                <w:lang w:eastAsia="zh-CN"/>
              </w:rPr>
              <w:t>产品关联交易情况</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ind w:firstLine="400" w:firstLineChars="200"/>
              <w:jc w:val="left"/>
              <w:rPr>
                <w:rFonts w:ascii="原版宋体" w:hAnsi="原版宋体" w:eastAsia="原版宋体" w:cs="原版宋体"/>
                <w:color w:val="000000"/>
                <w:sz w:val="20"/>
              </w:rPr>
            </w:pPr>
            <w:r>
              <w:rPr>
                <w:rFonts w:hint="eastAsia" w:ascii="原版宋体" w:hAnsi="原版宋体" w:eastAsia="原版宋体" w:cs="原版宋体"/>
                <w:color w:val="000000"/>
                <w:sz w:val="20"/>
                <w:lang w:val="en-US" w:eastAsia="zh-CN"/>
              </w:rPr>
              <w:t>产品投资于关联方发行的证券期末余额为30,991,226.3元。报告期内，产品未新增</w:t>
            </w:r>
            <w:bookmarkStart w:id="3" w:name="_GoBack"/>
            <w:bookmarkEnd w:id="3"/>
            <w:r>
              <w:rPr>
                <w:rFonts w:hint="eastAsia" w:ascii="原版宋体" w:hAnsi="原版宋体" w:eastAsia="原版宋体" w:cs="原版宋体"/>
                <w:color w:val="000000"/>
                <w:sz w:val="20"/>
                <w:lang w:val="en-US" w:eastAsia="zh-CN"/>
              </w:rPr>
              <w:t>关联交易。</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tcPr>
            <w:tcW w:w="800" w:type="dxa"/>
          </w:tcPr>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原版宋体">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800"/>
  <w:compat>
    <w:useFELayout/>
    <w:splitPgBreakAndParaMark/>
    <w:compatSetting w:name="compatibilityMode" w:uri="http://schemas.microsoft.com/office/word" w:val="12"/>
  </w:compat>
  <w:rsids>
    <w:rsidRoot w:val="00000000"/>
    <w:rsid w:val="2FDA2602"/>
    <w:rsid w:val="46444ECB"/>
    <w:rsid w:val="4E745466"/>
    <w:rsid w:val="702B299C"/>
    <w:rsid w:val="783D2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Office_10.8.2.7072_F1E327BC-269C-435d-A152-05C5408002CA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2026-04-02T06:34:00Z</dcterms:created>
  <dc:creator>n</dc:creator>
  <cp:lastModifiedBy>crcb</cp:lastModifiedBy>
  <dcterms:modified xsi:type="dcterms:W3CDTF">2026-05-15T04:53:16Z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E1CA533CA6474E2AA17CD74CD79A9F61</vt:lpwstr>
  </property>
</Properties>
</file>