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8280"/>
        </w:tabs>
        <w:spacing w:line="48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江苏常熟农村商业银行股份有限公司</w:t>
      </w:r>
    </w:p>
    <w:p>
      <w:pPr>
        <w:tabs>
          <w:tab w:val="left" w:pos="8280"/>
        </w:tabs>
        <w:spacing w:line="480" w:lineRule="auto"/>
        <w:rPr>
          <w:rFonts w:hint="eastAsia" w:ascii="仿宋_GB2312" w:hAnsi="仿宋_GB2312" w:eastAsia="仿宋_GB2312" w:cs="仿宋_GB2312"/>
          <w:b/>
          <w:sz w:val="28"/>
          <w:szCs w:val="28"/>
          <w:lang w:val="en-US"/>
        </w:rPr>
      </w:pPr>
      <w:r>
        <w:rPr>
          <w:rFonts w:hint="eastAsia" w:ascii="仿宋_GB2312" w:hAnsi="仿宋_GB2312" w:eastAsia="仿宋_GB2312" w:cs="仿宋_GB2312"/>
          <w:b/>
          <w:sz w:val="28"/>
          <w:szCs w:val="28"/>
        </w:rPr>
        <w:t>招标编号：</w:t>
      </w:r>
      <w:r>
        <w:rPr>
          <w:rFonts w:hint="eastAsia" w:ascii="仿宋_GB2312" w:hAnsi="仿宋_GB2312" w:eastAsia="仿宋_GB2312" w:cs="仿宋_GB2312"/>
          <w:b/>
          <w:sz w:val="28"/>
          <w:szCs w:val="28"/>
          <w:lang w:val="en-US"/>
        </w:rPr>
        <w:t>20220054</w:t>
      </w:r>
    </w:p>
    <w:p>
      <w:pPr>
        <w:tabs>
          <w:tab w:val="left" w:pos="8280"/>
        </w:tabs>
        <w:spacing w:line="480" w:lineRule="auto"/>
        <w:rPr>
          <w:rFonts w:hint="eastAsia" w:ascii="仿宋_GB2312" w:hAnsi="仿宋_GB2312" w:eastAsia="仿宋_GB2312" w:cs="仿宋_GB2312"/>
          <w:b/>
          <w:sz w:val="28"/>
        </w:rPr>
      </w:pPr>
    </w:p>
    <w:p>
      <w:pPr>
        <w:pStyle w:val="17"/>
        <w:tabs>
          <w:tab w:val="left" w:pos="8280"/>
        </w:tabs>
        <w:spacing w:line="360" w:lineRule="auto"/>
        <w:outlineLvl w:val="0"/>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 xml:space="preserve">  江苏常熟农村商业银行股份有限公司      招标书</w:t>
      </w: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autoSpaceDE w:val="0"/>
        <w:autoSpaceDN w:val="0"/>
        <w:adjustRightInd w:val="0"/>
        <w:spacing w:line="560" w:lineRule="atLeast"/>
        <w:jc w:val="center"/>
        <w:rPr>
          <w:rFonts w:hint="eastAsia" w:ascii="仿宋_GB2312" w:hAnsi="仿宋_GB2312" w:eastAsia="仿宋_GB2312" w:cs="仿宋_GB2312"/>
          <w:b/>
          <w:bCs/>
          <w:snapToGrid w:val="0"/>
          <w:sz w:val="32"/>
        </w:rPr>
      </w:pPr>
    </w:p>
    <w:p>
      <w:pPr>
        <w:autoSpaceDE w:val="0"/>
        <w:autoSpaceDN w:val="0"/>
        <w:adjustRightInd w:val="0"/>
        <w:spacing w:line="560" w:lineRule="atLeast"/>
        <w:jc w:val="center"/>
        <w:rPr>
          <w:rFonts w:hint="eastAsia" w:ascii="仿宋_GB2312" w:hAnsi="仿宋_GB2312" w:eastAsia="仿宋_GB2312" w:cs="仿宋_GB2312"/>
          <w:b/>
          <w:bCs/>
          <w:snapToGrid w:val="0"/>
          <w:sz w:val="32"/>
        </w:rPr>
      </w:pPr>
    </w:p>
    <w:p>
      <w:pPr>
        <w:autoSpaceDE w:val="0"/>
        <w:autoSpaceDN w:val="0"/>
        <w:adjustRightInd w:val="0"/>
        <w:spacing w:line="560" w:lineRule="atLeast"/>
        <w:jc w:val="center"/>
        <w:rPr>
          <w:rFonts w:hint="eastAsia" w:ascii="仿宋_GB2312" w:hAnsi="仿宋_GB2312" w:eastAsia="仿宋_GB2312" w:cs="仿宋_GB2312"/>
          <w:b/>
          <w:bCs/>
          <w:snapToGrid w:val="0"/>
          <w:sz w:val="32"/>
        </w:rPr>
      </w:pPr>
    </w:p>
    <w:p>
      <w:pPr>
        <w:autoSpaceDE w:val="0"/>
        <w:autoSpaceDN w:val="0"/>
        <w:adjustRightInd w:val="0"/>
        <w:spacing w:line="560" w:lineRule="atLeast"/>
        <w:jc w:val="center"/>
        <w:rPr>
          <w:rFonts w:hint="eastAsia" w:ascii="仿宋_GB2312" w:hAnsi="仿宋_GB2312" w:eastAsia="仿宋_GB2312" w:cs="仿宋_GB2312"/>
          <w:b/>
          <w:bCs/>
          <w:snapToGrid w:val="0"/>
          <w:sz w:val="32"/>
        </w:rPr>
      </w:pPr>
    </w:p>
    <w:p>
      <w:pPr>
        <w:autoSpaceDE w:val="0"/>
        <w:autoSpaceDN w:val="0"/>
        <w:adjustRightInd w:val="0"/>
        <w:spacing w:line="560" w:lineRule="atLeast"/>
        <w:jc w:val="center"/>
        <w:rPr>
          <w:rFonts w:hint="eastAsia" w:ascii="仿宋_GB2312" w:hAnsi="仿宋_GB2312" w:eastAsia="仿宋_GB2312" w:cs="仿宋_GB2312"/>
          <w:b/>
          <w:bCs/>
          <w:snapToGrid w:val="0"/>
          <w:sz w:val="32"/>
        </w:rPr>
      </w:pPr>
    </w:p>
    <w:p>
      <w:pPr>
        <w:autoSpaceDE w:val="0"/>
        <w:autoSpaceDN w:val="0"/>
        <w:adjustRightInd w:val="0"/>
        <w:spacing w:line="560" w:lineRule="atLeast"/>
        <w:rPr>
          <w:rFonts w:hint="eastAsia" w:ascii="仿宋_GB2312" w:hAnsi="仿宋_GB2312" w:eastAsia="仿宋_GB2312" w:cs="仿宋_GB2312"/>
          <w:b/>
          <w:bCs/>
          <w:snapToGrid w:val="0"/>
          <w:sz w:val="32"/>
        </w:rPr>
      </w:pPr>
    </w:p>
    <w:p>
      <w:pPr>
        <w:autoSpaceDE w:val="0"/>
        <w:autoSpaceDN w:val="0"/>
        <w:adjustRightInd w:val="0"/>
        <w:spacing w:line="560" w:lineRule="atLeast"/>
        <w:jc w:val="center"/>
        <w:rPr>
          <w:rFonts w:hint="eastAsia" w:ascii="仿宋_GB2312" w:hAnsi="仿宋_GB2312" w:eastAsia="仿宋_GB2312" w:cs="仿宋_GB2312"/>
          <w:b/>
          <w:bCs/>
          <w:snapToGrid w:val="0"/>
          <w:sz w:val="32"/>
        </w:rPr>
      </w:pPr>
    </w:p>
    <w:p>
      <w:pPr>
        <w:tabs>
          <w:tab w:val="left" w:pos="8280"/>
        </w:tabs>
        <w:jc w:val="center"/>
        <w:outlineLvl w:val="0"/>
        <w:rPr>
          <w:rFonts w:hint="eastAsia" w:ascii="仿宋_GB2312" w:hAnsi="仿宋_GB2312" w:eastAsia="仿宋_GB2312" w:cs="仿宋_GB2312"/>
          <w:b/>
          <w:sz w:val="30"/>
          <w:szCs w:val="30"/>
        </w:rPr>
      </w:pPr>
    </w:p>
    <w:p>
      <w:pPr>
        <w:tabs>
          <w:tab w:val="left" w:pos="8280"/>
        </w:tabs>
        <w:jc w:val="center"/>
        <w:outlineLvl w:val="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江苏常熟农村商业银行股份有限公司</w:t>
      </w:r>
    </w:p>
    <w:p>
      <w:pPr>
        <w:rPr>
          <w:rFonts w:hint="eastAsia" w:ascii="仿宋_GB2312" w:hAnsi="仿宋_GB2312" w:eastAsia="仿宋_GB2312" w:cs="仿宋_GB2312"/>
          <w:sz w:val="30"/>
          <w:szCs w:val="30"/>
        </w:rPr>
      </w:pPr>
    </w:p>
    <w:p>
      <w:pPr>
        <w:pStyle w:val="23"/>
        <w:tabs>
          <w:tab w:val="left" w:pos="8280"/>
        </w:tabs>
        <w:jc w:val="center"/>
        <w:outlineLvl w:val="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二〇</w:t>
      </w:r>
      <w:r>
        <w:rPr>
          <w:rFonts w:hint="eastAsia" w:ascii="仿宋_GB2312" w:hAnsi="仿宋_GB2312" w:eastAsia="仿宋_GB2312" w:cs="仿宋_GB2312"/>
          <w:b/>
          <w:sz w:val="30"/>
          <w:szCs w:val="30"/>
          <w:lang w:eastAsia="zh-CN"/>
        </w:rPr>
        <w:t>二二</w:t>
      </w:r>
      <w:r>
        <w:rPr>
          <w:rFonts w:hint="eastAsia" w:ascii="仿宋_GB2312" w:hAnsi="仿宋_GB2312" w:eastAsia="仿宋_GB2312" w:cs="仿宋_GB2312"/>
          <w:b/>
          <w:sz w:val="30"/>
          <w:szCs w:val="30"/>
        </w:rPr>
        <w:t>年</w:t>
      </w:r>
      <w:r>
        <w:rPr>
          <w:rFonts w:hint="eastAsia" w:ascii="仿宋_GB2312" w:hAnsi="仿宋_GB2312" w:eastAsia="仿宋_GB2312" w:cs="仿宋_GB2312"/>
          <w:b/>
          <w:sz w:val="30"/>
          <w:szCs w:val="30"/>
          <w:lang w:val="en-US" w:eastAsia="zh-CN"/>
        </w:rPr>
        <w:t>七</w:t>
      </w:r>
      <w:r>
        <w:rPr>
          <w:rFonts w:hint="eastAsia" w:ascii="仿宋_GB2312" w:hAnsi="仿宋_GB2312" w:eastAsia="仿宋_GB2312" w:cs="仿宋_GB2312"/>
          <w:b/>
          <w:sz w:val="30"/>
          <w:szCs w:val="30"/>
        </w:rPr>
        <w:t>月</w:t>
      </w:r>
      <w:r>
        <w:rPr>
          <w:rFonts w:hint="eastAsia" w:ascii="仿宋_GB2312" w:hAnsi="仿宋_GB2312" w:eastAsia="仿宋_GB2312" w:cs="仿宋_GB2312"/>
          <w:b/>
          <w:sz w:val="30"/>
          <w:szCs w:val="30"/>
          <w:lang w:val="en-US" w:eastAsia="zh-CN"/>
        </w:rPr>
        <w:t>六</w:t>
      </w:r>
      <w:r>
        <w:rPr>
          <w:rFonts w:hint="eastAsia" w:ascii="仿宋_GB2312" w:hAnsi="仿宋_GB2312" w:eastAsia="仿宋_GB2312" w:cs="仿宋_GB2312"/>
          <w:b/>
          <w:sz w:val="30"/>
          <w:szCs w:val="30"/>
        </w:rPr>
        <w:t>日</w:t>
      </w:r>
    </w:p>
    <w:p>
      <w:pPr>
        <w:autoSpaceDE w:val="0"/>
        <w:autoSpaceDN w:val="0"/>
        <w:adjustRightInd w:val="0"/>
        <w:spacing w:line="560" w:lineRule="atLeast"/>
        <w:jc w:val="center"/>
        <w:rPr>
          <w:rFonts w:hint="eastAsia" w:ascii="仿宋_GB2312" w:hAnsi="仿宋_GB2312" w:eastAsia="仿宋_GB2312" w:cs="仿宋_GB2312"/>
          <w:b/>
          <w:bCs/>
          <w:snapToGrid w:val="0"/>
          <w:sz w:val="32"/>
        </w:rPr>
      </w:pPr>
      <w:r>
        <w:rPr>
          <w:rFonts w:hint="eastAsia" w:ascii="仿宋_GB2312" w:hAnsi="仿宋_GB2312" w:eastAsia="仿宋_GB2312" w:cs="仿宋_GB2312"/>
          <w:b/>
          <w:bCs/>
          <w:snapToGrid w:val="0"/>
          <w:sz w:val="32"/>
        </w:rPr>
        <w:br w:type="page"/>
      </w:r>
      <w:r>
        <w:rPr>
          <w:rFonts w:hint="eastAsia" w:ascii="仿宋_GB2312" w:hAnsi="仿宋_GB2312" w:eastAsia="仿宋_GB2312" w:cs="仿宋_GB2312"/>
          <w:b/>
          <w:bCs/>
          <w:snapToGrid w:val="0"/>
          <w:sz w:val="32"/>
        </w:rPr>
        <w:t>申   明</w:t>
      </w:r>
    </w:p>
    <w:p>
      <w:pPr>
        <w:autoSpaceDE w:val="0"/>
        <w:autoSpaceDN w:val="0"/>
        <w:adjustRightInd w:val="0"/>
        <w:spacing w:line="560" w:lineRule="atLeast"/>
        <w:jc w:val="center"/>
        <w:rPr>
          <w:rFonts w:hint="eastAsia" w:ascii="仿宋_GB2312" w:hAnsi="仿宋_GB2312" w:eastAsia="仿宋_GB2312" w:cs="仿宋_GB2312"/>
          <w:snapToGrid w:val="0"/>
          <w:sz w:val="32"/>
        </w:rPr>
      </w:pPr>
    </w:p>
    <w:p>
      <w:pPr>
        <w:wordWrap w:val="0"/>
        <w:autoSpaceDE w:val="0"/>
        <w:autoSpaceDN w:val="0"/>
        <w:adjustRightInd w:val="0"/>
        <w:spacing w:line="560" w:lineRule="atLeast"/>
        <w:ind w:firstLine="624"/>
        <w:rPr>
          <w:rFonts w:hint="eastAsia" w:ascii="仿宋_GB2312" w:hAnsi="仿宋_GB2312" w:eastAsia="仿宋_GB2312" w:cs="仿宋_GB2312"/>
          <w:snapToGrid w:val="0"/>
          <w:sz w:val="28"/>
          <w:u w:val="single"/>
        </w:rPr>
      </w:pPr>
      <w:r>
        <w:rPr>
          <w:rFonts w:hint="eastAsia" w:ascii="仿宋_GB2312" w:hAnsi="仿宋_GB2312" w:eastAsia="仿宋_GB2312" w:cs="仿宋_GB2312"/>
          <w:snapToGrid w:val="0"/>
          <w:sz w:val="28"/>
        </w:rPr>
        <w:t>本招标文件专用于江苏常熟农村商业银行股份有限公司“</w:t>
      </w:r>
      <w:r>
        <w:rPr>
          <w:rFonts w:hint="eastAsia" w:ascii="仿宋_GB2312" w:hAnsi="仿宋_GB2312" w:eastAsia="仿宋_GB2312" w:cs="仿宋_GB2312"/>
          <w:snapToGrid w:val="0"/>
          <w:sz w:val="28"/>
          <w:u w:val="single"/>
          <w:lang w:eastAsia="zh-CN"/>
        </w:rPr>
        <w:t>数据中心项目建设-发电机采购</w:t>
      </w:r>
      <w:r>
        <w:rPr>
          <w:rFonts w:hint="eastAsia" w:ascii="仿宋_GB2312" w:hAnsi="仿宋_GB2312" w:eastAsia="仿宋_GB2312" w:cs="仿宋_GB2312"/>
          <w:snapToGrid w:val="0"/>
          <w:sz w:val="28"/>
        </w:rPr>
        <w:t>”</w:t>
      </w:r>
      <w:r>
        <w:rPr>
          <w:rFonts w:hint="eastAsia" w:ascii="仿宋_GB2312" w:hAnsi="仿宋_GB2312" w:eastAsia="仿宋_GB2312" w:cs="仿宋_GB2312"/>
          <w:snapToGrid w:val="0"/>
          <w:sz w:val="28"/>
          <w:lang w:val="en-US" w:eastAsia="zh-CN"/>
        </w:rPr>
        <w:t>项目</w:t>
      </w:r>
      <w:r>
        <w:rPr>
          <w:rFonts w:hint="eastAsia" w:ascii="仿宋_GB2312" w:hAnsi="仿宋_GB2312" w:eastAsia="仿宋_GB2312" w:cs="仿宋_GB2312"/>
          <w:snapToGrid w:val="0"/>
          <w:sz w:val="28"/>
        </w:rPr>
        <w:t>进行招标，江苏常熟农村商业银行股份有限公司对本招标文件及招标文件内容享有解释权。参加投标单位即视为无条件同意本申明并保证对本招标文件可能涉及的江苏常熟农村商业银行股份有限公司商业秘密予以保密，除经江苏常熟农村商业银行股份有限公司书面同意外，任何单位和个人不得为参与本产品投标以外的目的而出版、复制、传播、销售及使用本招标文件。</w:t>
      </w:r>
    </w:p>
    <w:p>
      <w:pPr>
        <w:autoSpaceDE w:val="0"/>
        <w:autoSpaceDN w:val="0"/>
        <w:adjustRightInd w:val="0"/>
        <w:spacing w:line="640" w:lineRule="atLeast"/>
        <w:jc w:val="center"/>
        <w:rPr>
          <w:rFonts w:hint="eastAsia" w:ascii="仿宋_GB2312" w:hAnsi="仿宋_GB2312" w:eastAsia="仿宋_GB2312" w:cs="仿宋_GB2312"/>
          <w:b/>
          <w:bCs/>
          <w:snapToGrid w:val="0"/>
          <w:sz w:val="30"/>
          <w:szCs w:val="30"/>
        </w:rPr>
      </w:pPr>
      <w:r>
        <w:rPr>
          <w:rFonts w:hint="eastAsia" w:ascii="仿宋_GB2312" w:hAnsi="仿宋_GB2312" w:eastAsia="仿宋_GB2312" w:cs="仿宋_GB2312"/>
          <w:snapToGrid w:val="0"/>
          <w:sz w:val="28"/>
        </w:rPr>
        <w:br w:type="page"/>
      </w:r>
      <w:r>
        <w:rPr>
          <w:rFonts w:hint="eastAsia" w:ascii="仿宋_GB2312" w:hAnsi="仿宋_GB2312" w:eastAsia="仿宋_GB2312" w:cs="仿宋_GB2312"/>
          <w:b/>
          <w:bCs/>
          <w:snapToGrid w:val="0"/>
          <w:sz w:val="28"/>
        </w:rPr>
        <w:t xml:space="preserve">第一部分 </w:t>
      </w:r>
      <w:r>
        <w:rPr>
          <w:rFonts w:hint="eastAsia" w:ascii="仿宋_GB2312" w:hAnsi="仿宋_GB2312" w:eastAsia="仿宋_GB2312" w:cs="仿宋_GB2312"/>
          <w:b/>
          <w:bCs/>
          <w:snapToGrid w:val="0"/>
          <w:sz w:val="30"/>
          <w:szCs w:val="30"/>
        </w:rPr>
        <w:t>投标</w:t>
      </w:r>
      <w:bookmarkStart w:id="0" w:name="投标邀请函"/>
      <w:bookmarkEnd w:id="0"/>
      <w:r>
        <w:rPr>
          <w:rFonts w:hint="eastAsia" w:ascii="仿宋_GB2312" w:hAnsi="仿宋_GB2312" w:eastAsia="仿宋_GB2312" w:cs="仿宋_GB2312"/>
          <w:b/>
          <w:bCs/>
          <w:snapToGrid w:val="0"/>
          <w:sz w:val="30"/>
          <w:szCs w:val="30"/>
        </w:rPr>
        <w:t>函</w:t>
      </w:r>
    </w:p>
    <w:p>
      <w:pPr>
        <w:autoSpaceDE w:val="0"/>
        <w:autoSpaceDN w:val="0"/>
        <w:adjustRightInd w:val="0"/>
        <w:spacing w:line="560" w:lineRule="atLeast"/>
        <w:ind w:firstLine="624"/>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根据</w:t>
      </w:r>
      <w:r>
        <w:rPr>
          <w:rFonts w:hint="eastAsia" w:ascii="仿宋_GB2312" w:hAnsi="仿宋_GB2312" w:eastAsia="仿宋_GB2312" w:cs="仿宋_GB2312"/>
          <w:snapToGrid w:val="0"/>
          <w:sz w:val="28"/>
        </w:rPr>
        <w:t>江苏常熟农村商业银行股份有限公司</w:t>
      </w:r>
      <w:r>
        <w:rPr>
          <w:rFonts w:hint="eastAsia" w:ascii="仿宋_GB2312" w:hAnsi="仿宋_GB2312" w:eastAsia="仿宋_GB2312" w:cs="仿宋_GB2312"/>
          <w:snapToGrid w:val="0"/>
          <w:sz w:val="28"/>
          <w:szCs w:val="28"/>
        </w:rPr>
        <w:t>业务发展的需求，现就</w:t>
      </w:r>
      <w:r>
        <w:rPr>
          <w:rFonts w:hint="eastAsia" w:ascii="仿宋_GB2312" w:hAnsi="仿宋_GB2312" w:eastAsia="仿宋_GB2312" w:cs="仿宋_GB2312"/>
          <w:snapToGrid w:val="0"/>
          <w:sz w:val="28"/>
        </w:rPr>
        <w:t>我行“</w:t>
      </w:r>
      <w:r>
        <w:rPr>
          <w:rFonts w:hint="eastAsia" w:ascii="仿宋_GB2312" w:hAnsi="仿宋_GB2312" w:eastAsia="仿宋_GB2312" w:cs="仿宋_GB2312"/>
          <w:snapToGrid w:val="0"/>
          <w:sz w:val="28"/>
          <w:u w:val="single"/>
          <w:lang w:eastAsia="zh-CN"/>
        </w:rPr>
        <w:t>数据中心项目建设-发电机采购</w:t>
      </w:r>
      <w:r>
        <w:rPr>
          <w:rFonts w:hint="eastAsia" w:ascii="仿宋_GB2312" w:hAnsi="仿宋_GB2312" w:eastAsia="仿宋_GB2312" w:cs="仿宋_GB2312"/>
          <w:snapToGrid w:val="0"/>
          <w:sz w:val="28"/>
        </w:rPr>
        <w:t>”</w:t>
      </w:r>
      <w:r>
        <w:rPr>
          <w:rFonts w:hint="eastAsia" w:ascii="仿宋_GB2312" w:hAnsi="仿宋_GB2312" w:eastAsia="仿宋_GB2312" w:cs="仿宋_GB2312"/>
          <w:snapToGrid w:val="0"/>
          <w:sz w:val="28"/>
          <w:lang w:val="en-US" w:eastAsia="zh-CN"/>
        </w:rPr>
        <w:t>项目</w:t>
      </w:r>
      <w:r>
        <w:rPr>
          <w:rFonts w:hint="eastAsia" w:ascii="仿宋_GB2312" w:hAnsi="仿宋_GB2312" w:eastAsia="仿宋_GB2312" w:cs="仿宋_GB2312"/>
          <w:snapToGrid w:val="0"/>
          <w:sz w:val="28"/>
          <w:szCs w:val="28"/>
        </w:rPr>
        <w:t>进行招标：</w:t>
      </w:r>
    </w:p>
    <w:p>
      <w:pPr>
        <w:tabs>
          <w:tab w:val="left" w:pos="8280"/>
        </w:tabs>
        <w:rPr>
          <w:rFonts w:hint="eastAsia" w:ascii="仿宋_GB2312" w:hAnsi="仿宋_GB2312" w:eastAsia="仿宋_GB2312" w:cs="仿宋_GB2312"/>
          <w:b/>
          <w:sz w:val="28"/>
          <w:szCs w:val="28"/>
          <w:lang w:val="en-US"/>
        </w:rPr>
      </w:pPr>
      <w:r>
        <w:rPr>
          <w:rFonts w:hint="eastAsia" w:ascii="仿宋_GB2312" w:hAnsi="仿宋_GB2312" w:eastAsia="仿宋_GB2312" w:cs="仿宋_GB2312"/>
          <w:snapToGrid w:val="0"/>
          <w:sz w:val="28"/>
          <w:szCs w:val="28"/>
        </w:rPr>
        <w:t>1.招标编号：</w:t>
      </w:r>
      <w:r>
        <w:rPr>
          <w:rFonts w:hint="eastAsia" w:ascii="仿宋_GB2312" w:hAnsi="仿宋_GB2312" w:eastAsia="仿宋_GB2312" w:cs="仿宋_GB2312"/>
          <w:snapToGrid w:val="0"/>
          <w:sz w:val="28"/>
          <w:szCs w:val="28"/>
          <w:lang w:val="en-US"/>
        </w:rPr>
        <w:t>20220054</w:t>
      </w:r>
    </w:p>
    <w:p>
      <w:pPr>
        <w:tabs>
          <w:tab w:val="left" w:pos="8280"/>
        </w:tabs>
        <w:rPr>
          <w:rFonts w:hint="eastAsia" w:ascii="仿宋_GB2312" w:hAnsi="仿宋_GB2312" w:eastAsia="仿宋_GB2312" w:cs="仿宋_GB2312"/>
          <w:snapToGrid w:val="0"/>
          <w:sz w:val="28"/>
          <w:szCs w:val="28"/>
          <w:u w:val="single"/>
        </w:rPr>
      </w:pPr>
      <w:r>
        <w:rPr>
          <w:rFonts w:hint="eastAsia" w:ascii="仿宋_GB2312" w:hAnsi="仿宋_GB2312" w:eastAsia="仿宋_GB2312" w:cs="仿宋_GB2312"/>
          <w:snapToGrid w:val="0"/>
          <w:sz w:val="28"/>
          <w:szCs w:val="28"/>
        </w:rPr>
        <w:t>2.招标人：</w:t>
      </w:r>
      <w:r>
        <w:rPr>
          <w:rFonts w:hint="eastAsia" w:ascii="仿宋_GB2312" w:hAnsi="仿宋_GB2312" w:eastAsia="仿宋_GB2312" w:cs="仿宋_GB2312"/>
          <w:snapToGrid w:val="0"/>
          <w:sz w:val="28"/>
        </w:rPr>
        <w:t>江苏常熟农村商业银行股份有限公司</w:t>
      </w:r>
    </w:p>
    <w:p>
      <w:pPr>
        <w:tabs>
          <w:tab w:val="left" w:pos="1260"/>
        </w:tabs>
        <w:autoSpaceDE w:val="0"/>
        <w:autoSpaceDN w:val="0"/>
        <w:adjustRightInd w:val="0"/>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3.项目实施地点：常熟</w:t>
      </w:r>
    </w:p>
    <w:p>
      <w:pPr>
        <w:tabs>
          <w:tab w:val="left" w:pos="1260"/>
        </w:tabs>
        <w:autoSpaceDE w:val="0"/>
        <w:autoSpaceDN w:val="0"/>
        <w:adjustRightInd w:val="0"/>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4.发放标书时间：北京时间</w:t>
      </w:r>
      <w:r>
        <w:rPr>
          <w:rFonts w:hint="eastAsia" w:ascii="仿宋_GB2312" w:hAnsi="仿宋_GB2312" w:eastAsia="仿宋_GB2312" w:cs="仿宋_GB2312"/>
          <w:snapToGrid w:val="0"/>
          <w:sz w:val="28"/>
          <w:szCs w:val="28"/>
          <w:lang w:val="en-US" w:eastAsia="zh-CN"/>
        </w:rPr>
        <w:t xml:space="preserve"> 2022</w:t>
      </w:r>
      <w:r>
        <w:rPr>
          <w:rFonts w:hint="eastAsia" w:ascii="仿宋_GB2312" w:hAnsi="仿宋_GB2312" w:eastAsia="仿宋_GB2312" w:cs="仿宋_GB2312"/>
          <w:snapToGrid w:val="0"/>
          <w:sz w:val="28"/>
          <w:szCs w:val="28"/>
        </w:rPr>
        <w:t>年</w:t>
      </w:r>
      <w:r>
        <w:rPr>
          <w:rFonts w:hint="eastAsia" w:ascii="仿宋_GB2312" w:hAnsi="仿宋_GB2312" w:eastAsia="仿宋_GB2312" w:cs="仿宋_GB2312"/>
          <w:snapToGrid w:val="0"/>
          <w:sz w:val="28"/>
          <w:szCs w:val="28"/>
          <w:lang w:val="en-US" w:eastAsia="zh-CN"/>
        </w:rPr>
        <w:t>07</w:t>
      </w:r>
      <w:r>
        <w:rPr>
          <w:rFonts w:hint="eastAsia" w:ascii="仿宋_GB2312" w:hAnsi="仿宋_GB2312" w:eastAsia="仿宋_GB2312" w:cs="仿宋_GB2312"/>
          <w:snapToGrid w:val="0"/>
          <w:sz w:val="28"/>
          <w:szCs w:val="28"/>
        </w:rPr>
        <w:t>月</w:t>
      </w:r>
      <w:r>
        <w:rPr>
          <w:rFonts w:hint="eastAsia" w:ascii="仿宋_GB2312" w:hAnsi="仿宋_GB2312" w:eastAsia="仿宋_GB2312" w:cs="仿宋_GB2312"/>
          <w:snapToGrid w:val="0"/>
          <w:sz w:val="28"/>
          <w:szCs w:val="28"/>
          <w:lang w:val="en-US" w:eastAsia="zh-CN"/>
        </w:rPr>
        <w:t>0</w:t>
      </w:r>
      <w:r>
        <w:rPr>
          <w:rFonts w:hint="default" w:ascii="仿宋_GB2312" w:hAnsi="仿宋_GB2312" w:eastAsia="仿宋_GB2312" w:cs="仿宋_GB2312"/>
          <w:snapToGrid w:val="0"/>
          <w:sz w:val="28"/>
          <w:szCs w:val="28"/>
          <w:lang w:val="en-US" w:eastAsia="zh-CN"/>
        </w:rPr>
        <w:t>7</w:t>
      </w:r>
      <w:r>
        <w:rPr>
          <w:rFonts w:hint="eastAsia" w:ascii="仿宋_GB2312" w:hAnsi="仿宋_GB2312" w:eastAsia="仿宋_GB2312" w:cs="仿宋_GB2312"/>
          <w:snapToGrid w:val="0"/>
          <w:sz w:val="28"/>
          <w:szCs w:val="28"/>
        </w:rPr>
        <w:t xml:space="preserve">日 </w:t>
      </w:r>
    </w:p>
    <w:p>
      <w:pPr>
        <w:tabs>
          <w:tab w:val="left" w:pos="1260"/>
        </w:tabs>
        <w:autoSpaceDE w:val="0"/>
        <w:autoSpaceDN w:val="0"/>
        <w:adjustRightInd w:val="0"/>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5.投标截止时间：北京时间</w:t>
      </w:r>
      <w:r>
        <w:rPr>
          <w:rFonts w:hint="eastAsia" w:ascii="仿宋_GB2312" w:hAnsi="仿宋_GB2312" w:eastAsia="仿宋_GB2312" w:cs="仿宋_GB2312"/>
          <w:snapToGrid w:val="0"/>
          <w:sz w:val="28"/>
          <w:szCs w:val="28"/>
          <w:lang w:val="en-US" w:eastAsia="zh-CN"/>
        </w:rPr>
        <w:t xml:space="preserve"> 2022</w:t>
      </w:r>
      <w:r>
        <w:rPr>
          <w:rFonts w:hint="eastAsia" w:ascii="仿宋_GB2312" w:hAnsi="仿宋_GB2312" w:eastAsia="仿宋_GB2312" w:cs="仿宋_GB2312"/>
          <w:snapToGrid w:val="0"/>
          <w:sz w:val="28"/>
          <w:szCs w:val="28"/>
        </w:rPr>
        <w:t>年</w:t>
      </w:r>
      <w:r>
        <w:rPr>
          <w:rFonts w:hint="eastAsia" w:ascii="仿宋_GB2312" w:hAnsi="仿宋_GB2312" w:eastAsia="仿宋_GB2312" w:cs="仿宋_GB2312"/>
          <w:snapToGrid w:val="0"/>
          <w:sz w:val="28"/>
          <w:szCs w:val="28"/>
          <w:lang w:val="en-US" w:eastAsia="zh-CN"/>
        </w:rPr>
        <w:t>07</w:t>
      </w:r>
      <w:r>
        <w:rPr>
          <w:rFonts w:hint="eastAsia" w:ascii="仿宋_GB2312" w:hAnsi="仿宋_GB2312" w:eastAsia="仿宋_GB2312" w:cs="仿宋_GB2312"/>
          <w:snapToGrid w:val="0"/>
          <w:sz w:val="28"/>
          <w:szCs w:val="28"/>
        </w:rPr>
        <w:t>月</w:t>
      </w:r>
      <w:r>
        <w:rPr>
          <w:rFonts w:hint="eastAsia" w:ascii="仿宋_GB2312" w:hAnsi="仿宋_GB2312" w:eastAsia="仿宋_GB2312" w:cs="仿宋_GB2312"/>
          <w:snapToGrid w:val="0"/>
          <w:sz w:val="28"/>
          <w:szCs w:val="28"/>
          <w:lang w:val="en-US" w:eastAsia="zh-CN"/>
        </w:rPr>
        <w:t>2</w:t>
      </w:r>
      <w:r>
        <w:rPr>
          <w:rFonts w:hint="default" w:ascii="仿宋_GB2312" w:hAnsi="仿宋_GB2312" w:eastAsia="仿宋_GB2312" w:cs="仿宋_GB2312"/>
          <w:snapToGrid w:val="0"/>
          <w:sz w:val="28"/>
          <w:szCs w:val="28"/>
          <w:lang w:val="en-US" w:eastAsia="zh-CN"/>
        </w:rPr>
        <w:t>6</w:t>
      </w:r>
      <w:r>
        <w:rPr>
          <w:rFonts w:hint="eastAsia" w:ascii="仿宋_GB2312" w:hAnsi="仿宋_GB2312" w:eastAsia="仿宋_GB2312" w:cs="仿宋_GB2312"/>
          <w:snapToGrid w:val="0"/>
          <w:sz w:val="28"/>
          <w:szCs w:val="28"/>
        </w:rPr>
        <w:t>日</w:t>
      </w:r>
    </w:p>
    <w:p>
      <w:pPr>
        <w:tabs>
          <w:tab w:val="left" w:pos="1260"/>
        </w:tabs>
        <w:autoSpaceDE w:val="0"/>
        <w:autoSpaceDN w:val="0"/>
        <w:adjustRightInd w:val="0"/>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6.招标人联系方式：</w:t>
      </w:r>
    </w:p>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江苏常熟农村商业银行股份有限公司</w:t>
      </w:r>
    </w:p>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地址：江苏省常熟市新世纪大道58号</w:t>
      </w:r>
    </w:p>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邮政编码：215500</w:t>
      </w:r>
    </w:p>
    <w:p>
      <w:pPr>
        <w:tabs>
          <w:tab w:val="left" w:pos="1260"/>
        </w:tabs>
        <w:autoSpaceDE w:val="0"/>
        <w:autoSpaceDN w:val="0"/>
        <w:adjustRightIn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技术联系人：朱林军</w:t>
      </w:r>
    </w:p>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电话号码：0512-52909220</w:t>
      </w:r>
    </w:p>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标书接收：陆志斌</w:t>
      </w:r>
    </w:p>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电话号码：0512-52739210</w:t>
      </w:r>
    </w:p>
    <w:p>
      <w:pPr>
        <w:autoSpaceDE w:val="0"/>
        <w:autoSpaceDN w:val="0"/>
        <w:adjustRightInd w:val="0"/>
        <w:jc w:val="left"/>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特别说明：</w:t>
      </w:r>
    </w:p>
    <w:p>
      <w:pPr>
        <w:autoSpaceDE w:val="0"/>
        <w:autoSpaceDN w:val="0"/>
        <w:adjustRightInd w:val="0"/>
        <w:ind w:firstLine="560"/>
        <w:jc w:val="left"/>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1.投标截止时，若某标段的合格投标人数量未符合我行开标要求（三家及以上），则投标截止时间顺延一周。</w:t>
      </w:r>
    </w:p>
    <w:p>
      <w:pPr>
        <w:autoSpaceDE w:val="0"/>
        <w:autoSpaceDN w:val="0"/>
        <w:adjustRightInd w:val="0"/>
        <w:ind w:firstLine="560"/>
        <w:jc w:val="left"/>
        <w:rPr>
          <w:rFonts w:hint="eastAsia" w:ascii="仿宋_GB2312" w:hAnsi="仿宋_GB2312" w:eastAsia="仿宋_GB2312" w:cs="仿宋_GB2312"/>
          <w:i/>
          <w:iCs/>
          <w:snapToGrid w:val="0"/>
          <w:sz w:val="24"/>
          <w:szCs w:val="24"/>
        </w:rPr>
      </w:pPr>
      <w:r>
        <w:rPr>
          <w:rFonts w:hint="eastAsia" w:ascii="仿宋_GB2312" w:hAnsi="仿宋_GB2312" w:eastAsia="仿宋_GB2312" w:cs="仿宋_GB2312"/>
          <w:snapToGrid w:val="0"/>
          <w:sz w:val="24"/>
          <w:szCs w:val="24"/>
        </w:rPr>
        <w:t>2.若投标时间延长一周后，标段投标人数量仍未满足要求，则根据该标段投标人数量将采购方式转为单一来源或竞争性谈判。</w:t>
      </w:r>
    </w:p>
    <w:p>
      <w:pPr>
        <w:widowControl/>
        <w:jc w:val="left"/>
        <w:rPr>
          <w:rFonts w:hint="eastAsia" w:ascii="仿宋_GB2312" w:hAnsi="仿宋_GB2312" w:eastAsia="仿宋_GB2312" w:cs="仿宋_GB2312"/>
          <w:kern w:val="0"/>
          <w:sz w:val="28"/>
          <w:szCs w:val="28"/>
        </w:rPr>
      </w:pPr>
    </w:p>
    <w:p>
      <w:pPr>
        <w:jc w:val="center"/>
        <w:rPr>
          <w:rFonts w:hint="eastAsia" w:ascii="仿宋_GB2312" w:hAnsi="仿宋_GB2312" w:eastAsia="仿宋_GB2312" w:cs="仿宋_GB2312"/>
          <w:b/>
          <w:bCs/>
          <w:snapToGrid w:val="0"/>
          <w:sz w:val="28"/>
          <w:szCs w:val="28"/>
        </w:rPr>
      </w:pPr>
      <w:r>
        <w:rPr>
          <w:rFonts w:hint="eastAsia" w:ascii="仿宋_GB2312" w:hAnsi="仿宋_GB2312" w:eastAsia="仿宋_GB2312" w:cs="仿宋_GB2312"/>
          <w:snapToGrid w:val="0"/>
          <w:sz w:val="28"/>
        </w:rPr>
        <w:t xml:space="preserve">                           江苏常熟农村商业银行股份有限公司</w:t>
      </w:r>
      <w:r>
        <w:rPr>
          <w:rFonts w:hint="eastAsia" w:ascii="仿宋_GB2312" w:hAnsi="仿宋_GB2312" w:eastAsia="仿宋_GB2312" w:cs="仿宋_GB2312"/>
          <w:snapToGrid w:val="0"/>
        </w:rPr>
        <w:br w:type="page"/>
      </w:r>
      <w:r>
        <w:rPr>
          <w:rFonts w:hint="eastAsia" w:ascii="仿宋_GB2312" w:hAnsi="仿宋_GB2312" w:eastAsia="仿宋_GB2312" w:cs="仿宋_GB2312"/>
          <w:b/>
          <w:bCs/>
          <w:snapToGrid w:val="0"/>
          <w:sz w:val="28"/>
          <w:szCs w:val="28"/>
        </w:rPr>
        <w:t>第二部分   项目需求</w:t>
      </w:r>
    </w:p>
    <w:p>
      <w:pPr>
        <w:pStyle w:val="2"/>
        <w:numPr>
          <w:ilvl w:val="0"/>
          <w:numId w:val="6"/>
        </w:numPr>
        <w:tabs>
          <w:tab w:val="left" w:pos="360"/>
        </w:tabs>
        <w:spacing w:line="360" w:lineRule="auto"/>
        <w:ind w:left="360" w:hanging="360"/>
        <w:jc w:val="center"/>
        <w:rPr>
          <w:rFonts w:hint="eastAsia" w:ascii="仿宋_GB2312" w:hAnsi="仿宋_GB2312" w:eastAsia="仿宋_GB2312" w:cs="仿宋_GB2312"/>
          <w:szCs w:val="28"/>
        </w:rPr>
      </w:pPr>
      <w:bookmarkStart w:id="1" w:name="_Toc15030886"/>
      <w:r>
        <w:rPr>
          <w:rFonts w:hint="eastAsia" w:ascii="仿宋_GB2312" w:hAnsi="仿宋_GB2312" w:eastAsia="仿宋_GB2312" w:cs="仿宋_GB2312"/>
          <w:szCs w:val="28"/>
        </w:rPr>
        <w:t>总则</w:t>
      </w:r>
      <w:bookmarkEnd w:id="1"/>
    </w:p>
    <w:p>
      <w:pPr>
        <w:spacing w:before="156" w:after="312" w:line="360" w:lineRule="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 xml:space="preserve">    本技术规格适用于常熟农商银行新建数据中心</w:t>
      </w:r>
      <w:r>
        <w:rPr>
          <w:rFonts w:hint="eastAsia" w:ascii="仿宋_GB2312" w:hAnsi="仿宋_GB2312" w:eastAsia="仿宋_GB2312" w:cs="仿宋_GB2312"/>
          <w:sz w:val="28"/>
          <w:szCs w:val="28"/>
          <w:lang w:eastAsia="zh-CN"/>
        </w:rPr>
        <w:t>发电机采购</w:t>
      </w:r>
      <w:r>
        <w:rPr>
          <w:rFonts w:hint="eastAsia" w:ascii="仿宋_GB2312" w:hAnsi="仿宋_GB2312" w:eastAsia="仿宋_GB2312" w:cs="仿宋_GB2312"/>
          <w:sz w:val="28"/>
          <w:szCs w:val="28"/>
        </w:rPr>
        <w:t>项目。投标方须对本技术规范书进行点对点应答，必须在引用本技术规范书的基础上,进行逐条逐项答复、说明和解释,即:首先针对投标方所提供的设备对实现或满足程度明确作出“满足”、“不满足”、“部分满足”的应答，同时答复和说明产品或服务的具体参数或情况，不得使用“明白”、“理解”等词语。</w:t>
      </w:r>
    </w:p>
    <w:p>
      <w:pPr>
        <w:widowControl/>
        <w:numPr>
          <w:ilvl w:val="5"/>
          <w:numId w:val="7"/>
        </w:numPr>
        <w:tabs>
          <w:tab w:val="left" w:pos="800"/>
        </w:tabs>
        <w:spacing w:before="240" w:line="360" w:lineRule="auto"/>
        <w:ind w:left="814" w:hanging="41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常熟农商银行新建数据中心中的备用电源—10.5kV柴油发电机组及配套设施（以下简称“机组”）的采购。</w:t>
      </w:r>
    </w:p>
    <w:p>
      <w:pPr>
        <w:widowControl/>
        <w:numPr>
          <w:ilvl w:val="5"/>
          <w:numId w:val="7"/>
        </w:numPr>
        <w:tabs>
          <w:tab w:val="left" w:pos="800"/>
        </w:tabs>
        <w:spacing w:before="240" w:line="360" w:lineRule="auto"/>
        <w:ind w:left="814" w:hanging="41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本技术规格提出的是最低限度的技术要求，并未对一切技术细节作出规定，也未充分引述有关标准和规范的条文，投标人应保证提供符合本技术规格和工业标准的优质产品。</w:t>
      </w:r>
    </w:p>
    <w:p>
      <w:pPr>
        <w:widowControl/>
        <w:numPr>
          <w:ilvl w:val="5"/>
          <w:numId w:val="7"/>
        </w:numPr>
        <w:tabs>
          <w:tab w:val="left" w:pos="800"/>
        </w:tabs>
        <w:spacing w:before="240" w:line="360" w:lineRule="auto"/>
        <w:ind w:left="814" w:hanging="41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本技术规格所使用的标准如遇与投标人所执行的标准发生矛盾时应按水平较高的标准执行。</w:t>
      </w:r>
    </w:p>
    <w:p>
      <w:pPr>
        <w:widowControl/>
        <w:numPr>
          <w:ilvl w:val="5"/>
          <w:numId w:val="7"/>
        </w:numPr>
        <w:tabs>
          <w:tab w:val="left" w:pos="800"/>
        </w:tabs>
        <w:spacing w:before="240" w:line="360" w:lineRule="auto"/>
        <w:ind w:left="814" w:hanging="41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投标人提供的一切资料均应以中文为准，如果因为语言误差造成的损失由投标人负责。</w:t>
      </w:r>
    </w:p>
    <w:p>
      <w:pPr>
        <w:widowControl/>
        <w:numPr>
          <w:ilvl w:val="5"/>
          <w:numId w:val="7"/>
        </w:numPr>
        <w:tabs>
          <w:tab w:val="left" w:pos="800"/>
        </w:tabs>
        <w:spacing w:before="240" w:line="360" w:lineRule="auto"/>
        <w:ind w:left="814" w:hanging="41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本技术规格中标有“★”的条款为主要技术要求，如果投标人所提供的产品不符合这类要求，在评标时将作废标处理。</w:t>
      </w:r>
    </w:p>
    <w:p>
      <w:pPr>
        <w:widowControl/>
        <w:numPr>
          <w:ilvl w:val="5"/>
          <w:numId w:val="7"/>
        </w:numPr>
        <w:tabs>
          <w:tab w:val="left" w:pos="800"/>
        </w:tabs>
        <w:spacing w:before="240" w:line="360" w:lineRule="auto"/>
        <w:ind w:left="814" w:hanging="41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本技术规格中未标有“★”的条款为一般技术要求，对于这类技术要求，在不影响机组正常使用的前提下允许有一定的偏离，但评标委员会在进行综合评审时将根据偏离的程度做出对投标人的评估。</w:t>
      </w:r>
    </w:p>
    <w:p>
      <w:pPr>
        <w:widowControl/>
        <w:numPr>
          <w:ilvl w:val="5"/>
          <w:numId w:val="7"/>
        </w:numPr>
        <w:tabs>
          <w:tab w:val="left" w:pos="800"/>
        </w:tabs>
        <w:spacing w:before="240" w:line="360" w:lineRule="auto"/>
        <w:ind w:left="814" w:hanging="41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技术质量，产品生产过程中须遵循的标准（包含不限于）、技术要求、试验、包装及储运的要求，并应满足施工图、招标文件的规定，并满足下列标准：</w:t>
      </w:r>
    </w:p>
    <w:p>
      <w:pPr>
        <w:widowControl/>
        <w:numPr>
          <w:ilvl w:val="6"/>
          <w:numId w:val="7"/>
        </w:numPr>
        <w:tabs>
          <w:tab w:val="left" w:pos="1701"/>
        </w:tabs>
        <w:spacing w:before="312" w:after="312" w:line="360" w:lineRule="auto"/>
        <w:ind w:right="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国家标准</w:t>
      </w:r>
    </w:p>
    <w:tbl>
      <w:tblPr>
        <w:tblStyle w:val="38"/>
        <w:tblW w:w="7280" w:type="dxa"/>
        <w:tblInd w:w="1701" w:type="dxa"/>
        <w:tblLayout w:type="fixed"/>
        <w:tblCellMar>
          <w:top w:w="0" w:type="dxa"/>
          <w:left w:w="0" w:type="dxa"/>
          <w:bottom w:w="0" w:type="dxa"/>
          <w:right w:w="0" w:type="dxa"/>
        </w:tblCellMar>
      </w:tblPr>
      <w:tblGrid>
        <w:gridCol w:w="1418"/>
        <w:gridCol w:w="5862"/>
      </w:tblGrid>
      <w:tr>
        <w:tblPrEx>
          <w:tblLayout w:type="fixed"/>
          <w:tblCellMar>
            <w:top w:w="0" w:type="dxa"/>
            <w:left w:w="0" w:type="dxa"/>
            <w:bottom w:w="0" w:type="dxa"/>
            <w:right w:w="0" w:type="dxa"/>
          </w:tblCellMar>
        </w:tblPrEx>
        <w:tc>
          <w:tcPr>
            <w:tcW w:w="1418" w:type="dxa"/>
            <w:tcMar>
              <w:top w:w="0" w:type="dxa"/>
              <w:left w:w="108" w:type="dxa"/>
              <w:bottom w:w="0" w:type="dxa"/>
              <w:right w:w="108" w:type="dxa"/>
            </w:tcMar>
          </w:tcPr>
          <w:p>
            <w:pPr>
              <w:spacing w:before="156" w:after="156"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GB/T2820</w:t>
            </w:r>
          </w:p>
        </w:tc>
        <w:tc>
          <w:tcPr>
            <w:tcW w:w="5862" w:type="dxa"/>
            <w:tcMar>
              <w:top w:w="0" w:type="dxa"/>
              <w:left w:w="108" w:type="dxa"/>
              <w:bottom w:w="0" w:type="dxa"/>
              <w:right w:w="108" w:type="dxa"/>
            </w:tcMar>
          </w:tcPr>
          <w:p>
            <w:pPr>
              <w:spacing w:before="156" w:after="156"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《往复式内燃机驱动的交流发电机组》</w:t>
            </w:r>
          </w:p>
        </w:tc>
      </w:tr>
      <w:tr>
        <w:tblPrEx>
          <w:tblLayout w:type="fixed"/>
          <w:tblCellMar>
            <w:top w:w="0" w:type="dxa"/>
            <w:left w:w="0" w:type="dxa"/>
            <w:bottom w:w="0" w:type="dxa"/>
            <w:right w:w="0" w:type="dxa"/>
          </w:tblCellMar>
        </w:tblPrEx>
        <w:tc>
          <w:tcPr>
            <w:tcW w:w="1418" w:type="dxa"/>
            <w:tcMar>
              <w:top w:w="0" w:type="dxa"/>
              <w:left w:w="108" w:type="dxa"/>
              <w:bottom w:w="0" w:type="dxa"/>
              <w:right w:w="108" w:type="dxa"/>
            </w:tcMar>
          </w:tcPr>
          <w:p>
            <w:pPr>
              <w:spacing w:before="156" w:after="156"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GJB425A</w:t>
            </w:r>
          </w:p>
        </w:tc>
        <w:tc>
          <w:tcPr>
            <w:tcW w:w="5862" w:type="dxa"/>
            <w:tcMar>
              <w:top w:w="0" w:type="dxa"/>
              <w:left w:w="108" w:type="dxa"/>
              <w:bottom w:w="0" w:type="dxa"/>
              <w:right w:w="108" w:type="dxa"/>
            </w:tcMar>
          </w:tcPr>
          <w:p>
            <w:pPr>
              <w:spacing w:before="156" w:after="156"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《交流工频汽油发电机组通用规范》</w:t>
            </w:r>
          </w:p>
        </w:tc>
      </w:tr>
      <w:tr>
        <w:tblPrEx>
          <w:tblLayout w:type="fixed"/>
          <w:tblCellMar>
            <w:top w:w="0" w:type="dxa"/>
            <w:left w:w="0" w:type="dxa"/>
            <w:bottom w:w="0" w:type="dxa"/>
            <w:right w:w="0" w:type="dxa"/>
          </w:tblCellMar>
        </w:tblPrEx>
        <w:tc>
          <w:tcPr>
            <w:tcW w:w="1418" w:type="dxa"/>
            <w:tcMar>
              <w:top w:w="0" w:type="dxa"/>
              <w:left w:w="108" w:type="dxa"/>
              <w:bottom w:w="0" w:type="dxa"/>
              <w:right w:w="108" w:type="dxa"/>
            </w:tcMar>
          </w:tcPr>
          <w:p>
            <w:pPr>
              <w:spacing w:before="156" w:after="156"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GB/T15548</w:t>
            </w:r>
          </w:p>
        </w:tc>
        <w:tc>
          <w:tcPr>
            <w:tcW w:w="5862" w:type="dxa"/>
            <w:tcMar>
              <w:top w:w="0" w:type="dxa"/>
              <w:left w:w="108" w:type="dxa"/>
              <w:bottom w:w="0" w:type="dxa"/>
              <w:right w:w="108" w:type="dxa"/>
            </w:tcMar>
          </w:tcPr>
          <w:p>
            <w:pPr>
              <w:spacing w:before="156" w:after="156"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《往复式内燃机驱动的三相同步发电机通用技术条件》</w:t>
            </w:r>
          </w:p>
        </w:tc>
      </w:tr>
      <w:tr>
        <w:tblPrEx>
          <w:tblLayout w:type="fixed"/>
          <w:tblCellMar>
            <w:top w:w="0" w:type="dxa"/>
            <w:left w:w="0" w:type="dxa"/>
            <w:bottom w:w="0" w:type="dxa"/>
            <w:right w:w="0" w:type="dxa"/>
          </w:tblCellMar>
        </w:tblPrEx>
        <w:tc>
          <w:tcPr>
            <w:tcW w:w="1418" w:type="dxa"/>
            <w:tcMar>
              <w:top w:w="0" w:type="dxa"/>
              <w:left w:w="108" w:type="dxa"/>
              <w:bottom w:w="0" w:type="dxa"/>
              <w:right w:w="108" w:type="dxa"/>
            </w:tcMar>
          </w:tcPr>
          <w:p>
            <w:pPr>
              <w:spacing w:before="156" w:after="156"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GB1105</w:t>
            </w:r>
          </w:p>
        </w:tc>
        <w:tc>
          <w:tcPr>
            <w:tcW w:w="5862" w:type="dxa"/>
            <w:tcMar>
              <w:top w:w="0" w:type="dxa"/>
              <w:left w:w="108" w:type="dxa"/>
              <w:bottom w:w="0" w:type="dxa"/>
              <w:right w:w="108" w:type="dxa"/>
            </w:tcMar>
          </w:tcPr>
          <w:p>
            <w:pPr>
              <w:spacing w:before="156" w:after="156"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《内燃机台架性能试验方法》</w:t>
            </w:r>
          </w:p>
        </w:tc>
      </w:tr>
      <w:tr>
        <w:tblPrEx>
          <w:tblLayout w:type="fixed"/>
          <w:tblCellMar>
            <w:top w:w="0" w:type="dxa"/>
            <w:left w:w="0" w:type="dxa"/>
            <w:bottom w:w="0" w:type="dxa"/>
            <w:right w:w="0" w:type="dxa"/>
          </w:tblCellMar>
        </w:tblPrEx>
        <w:tc>
          <w:tcPr>
            <w:tcW w:w="1418" w:type="dxa"/>
            <w:tcMar>
              <w:top w:w="0" w:type="dxa"/>
              <w:left w:w="108" w:type="dxa"/>
              <w:bottom w:w="0" w:type="dxa"/>
              <w:right w:w="108" w:type="dxa"/>
            </w:tcMar>
          </w:tcPr>
          <w:p>
            <w:pPr>
              <w:spacing w:before="156" w:after="156"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GB1859</w:t>
            </w:r>
          </w:p>
        </w:tc>
        <w:tc>
          <w:tcPr>
            <w:tcW w:w="5862" w:type="dxa"/>
            <w:tcMar>
              <w:top w:w="0" w:type="dxa"/>
              <w:left w:w="108" w:type="dxa"/>
              <w:bottom w:w="0" w:type="dxa"/>
              <w:right w:w="108" w:type="dxa"/>
            </w:tcMar>
          </w:tcPr>
          <w:p>
            <w:pPr>
              <w:spacing w:before="156" w:after="156"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《内燃机噪音测定方法》</w:t>
            </w:r>
          </w:p>
        </w:tc>
      </w:tr>
      <w:tr>
        <w:tblPrEx>
          <w:tblLayout w:type="fixed"/>
          <w:tblCellMar>
            <w:top w:w="0" w:type="dxa"/>
            <w:left w:w="0" w:type="dxa"/>
            <w:bottom w:w="0" w:type="dxa"/>
            <w:right w:w="0" w:type="dxa"/>
          </w:tblCellMar>
        </w:tblPrEx>
        <w:trPr>
          <w:trHeight w:val="661" w:hRule="atLeast"/>
        </w:trPr>
        <w:tc>
          <w:tcPr>
            <w:tcW w:w="1418" w:type="dxa"/>
            <w:tcMar>
              <w:top w:w="0" w:type="dxa"/>
              <w:left w:w="108" w:type="dxa"/>
              <w:bottom w:w="0" w:type="dxa"/>
              <w:right w:w="108" w:type="dxa"/>
            </w:tcMar>
          </w:tcPr>
          <w:p>
            <w:pPr>
              <w:spacing w:before="156" w:after="156"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GB4208</w:t>
            </w:r>
          </w:p>
        </w:tc>
        <w:tc>
          <w:tcPr>
            <w:tcW w:w="5862" w:type="dxa"/>
            <w:tcMar>
              <w:top w:w="0" w:type="dxa"/>
              <w:left w:w="108" w:type="dxa"/>
              <w:bottom w:w="0" w:type="dxa"/>
              <w:right w:w="108" w:type="dxa"/>
            </w:tcMar>
          </w:tcPr>
          <w:p>
            <w:pPr>
              <w:spacing w:before="156" w:after="156"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《外壳防护等级》</w:t>
            </w:r>
          </w:p>
        </w:tc>
      </w:tr>
      <w:tr>
        <w:tblPrEx>
          <w:tblLayout w:type="fixed"/>
          <w:tblCellMar>
            <w:top w:w="0" w:type="dxa"/>
            <w:left w:w="0" w:type="dxa"/>
            <w:bottom w:w="0" w:type="dxa"/>
            <w:right w:w="0" w:type="dxa"/>
          </w:tblCellMar>
        </w:tblPrEx>
        <w:tc>
          <w:tcPr>
            <w:tcW w:w="1418" w:type="dxa"/>
            <w:tcMar>
              <w:top w:w="0" w:type="dxa"/>
              <w:left w:w="108" w:type="dxa"/>
              <w:bottom w:w="0" w:type="dxa"/>
              <w:right w:w="108" w:type="dxa"/>
            </w:tcMar>
          </w:tcPr>
          <w:p>
            <w:pPr>
              <w:spacing w:before="156" w:after="156" w:line="360" w:lineRule="auto"/>
              <w:rPr>
                <w:rFonts w:hint="eastAsia" w:ascii="仿宋_GB2312" w:hAnsi="仿宋_GB2312" w:eastAsia="仿宋_GB2312" w:cs="仿宋_GB2312"/>
                <w:sz w:val="28"/>
                <w:szCs w:val="28"/>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"http://218.106.175.20/stdlinfo/servlet/com.sac.sacGBzhcx.GjbzcxDetailServlet?std_code=GB%205585.2-1985" </w:instrText>
            </w:r>
            <w:r>
              <w:rPr>
                <w:rFonts w:hint="eastAsia" w:ascii="仿宋_GB2312" w:hAnsi="仿宋_GB2312" w:eastAsia="仿宋_GB2312" w:cs="仿宋_GB2312"/>
              </w:rPr>
              <w:fldChar w:fldCharType="separate"/>
            </w:r>
            <w:r>
              <w:rPr>
                <w:rFonts w:hint="eastAsia" w:ascii="仿宋_GB2312" w:hAnsi="仿宋_GB2312" w:eastAsia="仿宋_GB2312" w:cs="仿宋_GB2312"/>
                <w:sz w:val="28"/>
                <w:szCs w:val="28"/>
              </w:rPr>
              <w:t>GB5585.2</w:t>
            </w:r>
            <w:r>
              <w:rPr>
                <w:rFonts w:hint="eastAsia" w:ascii="仿宋_GB2312" w:hAnsi="仿宋_GB2312" w:eastAsia="仿宋_GB2312" w:cs="仿宋_GB2312"/>
                <w:sz w:val="28"/>
                <w:szCs w:val="28"/>
              </w:rPr>
              <w:fldChar w:fldCharType="end"/>
            </w:r>
          </w:p>
        </w:tc>
        <w:tc>
          <w:tcPr>
            <w:tcW w:w="5862" w:type="dxa"/>
            <w:tcMar>
              <w:top w:w="0" w:type="dxa"/>
              <w:left w:w="108" w:type="dxa"/>
              <w:bottom w:w="0" w:type="dxa"/>
              <w:right w:w="108" w:type="dxa"/>
            </w:tcMar>
          </w:tcPr>
          <w:p>
            <w:pPr>
              <w:spacing w:before="156" w:after="156"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《电工用铜、铝及其合金母线第2部分:铜母线》</w:t>
            </w:r>
          </w:p>
        </w:tc>
      </w:tr>
      <w:tr>
        <w:tblPrEx>
          <w:tblLayout w:type="fixed"/>
          <w:tblCellMar>
            <w:top w:w="0" w:type="dxa"/>
            <w:left w:w="0" w:type="dxa"/>
            <w:bottom w:w="0" w:type="dxa"/>
            <w:right w:w="0" w:type="dxa"/>
          </w:tblCellMar>
        </w:tblPrEx>
        <w:tc>
          <w:tcPr>
            <w:tcW w:w="1418" w:type="dxa"/>
            <w:tcMar>
              <w:top w:w="0" w:type="dxa"/>
              <w:left w:w="108" w:type="dxa"/>
              <w:bottom w:w="0" w:type="dxa"/>
              <w:right w:w="108" w:type="dxa"/>
            </w:tcMar>
          </w:tcPr>
          <w:p>
            <w:pPr>
              <w:spacing w:before="156" w:after="156"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GB755-2008</w:t>
            </w:r>
          </w:p>
        </w:tc>
        <w:tc>
          <w:tcPr>
            <w:tcW w:w="5862" w:type="dxa"/>
            <w:tcMar>
              <w:top w:w="0" w:type="dxa"/>
              <w:left w:w="108" w:type="dxa"/>
              <w:bottom w:w="0" w:type="dxa"/>
              <w:right w:w="108" w:type="dxa"/>
            </w:tcMar>
          </w:tcPr>
          <w:p>
            <w:pPr>
              <w:spacing w:before="156" w:after="156"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《旋转电机定额和性能》</w:t>
            </w:r>
          </w:p>
        </w:tc>
      </w:tr>
      <w:tr>
        <w:tblPrEx>
          <w:tblLayout w:type="fixed"/>
          <w:tblCellMar>
            <w:top w:w="0" w:type="dxa"/>
            <w:left w:w="0" w:type="dxa"/>
            <w:bottom w:w="0" w:type="dxa"/>
            <w:right w:w="0" w:type="dxa"/>
          </w:tblCellMar>
        </w:tblPrEx>
        <w:tc>
          <w:tcPr>
            <w:tcW w:w="1418" w:type="dxa"/>
            <w:tcMar>
              <w:top w:w="0" w:type="dxa"/>
              <w:left w:w="108" w:type="dxa"/>
              <w:bottom w:w="0" w:type="dxa"/>
              <w:right w:w="108" w:type="dxa"/>
            </w:tcMar>
          </w:tcPr>
          <w:p>
            <w:pPr>
              <w:spacing w:before="156" w:after="156"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GB51194</w:t>
            </w:r>
          </w:p>
        </w:tc>
        <w:tc>
          <w:tcPr>
            <w:tcW w:w="5862" w:type="dxa"/>
            <w:tcMar>
              <w:top w:w="0" w:type="dxa"/>
              <w:left w:w="108" w:type="dxa"/>
              <w:bottom w:w="0" w:type="dxa"/>
              <w:right w:w="108" w:type="dxa"/>
            </w:tcMar>
          </w:tcPr>
          <w:p>
            <w:pPr>
              <w:spacing w:before="156" w:after="156"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通信电源设备安装工程设计规范</w:t>
            </w:r>
          </w:p>
        </w:tc>
      </w:tr>
      <w:tr>
        <w:tblPrEx>
          <w:tblLayout w:type="fixed"/>
          <w:tblCellMar>
            <w:top w:w="0" w:type="dxa"/>
            <w:left w:w="0" w:type="dxa"/>
            <w:bottom w:w="0" w:type="dxa"/>
            <w:right w:w="0" w:type="dxa"/>
          </w:tblCellMar>
        </w:tblPrEx>
        <w:tc>
          <w:tcPr>
            <w:tcW w:w="1418" w:type="dxa"/>
            <w:tcMar>
              <w:top w:w="0" w:type="dxa"/>
              <w:left w:w="108" w:type="dxa"/>
              <w:bottom w:w="0" w:type="dxa"/>
              <w:right w:w="108" w:type="dxa"/>
            </w:tcMar>
          </w:tcPr>
          <w:p>
            <w:pPr>
              <w:spacing w:before="156" w:after="156"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YD/T 1051-2010</w:t>
            </w:r>
          </w:p>
        </w:tc>
        <w:tc>
          <w:tcPr>
            <w:tcW w:w="5862" w:type="dxa"/>
            <w:tcMar>
              <w:top w:w="0" w:type="dxa"/>
              <w:left w:w="108" w:type="dxa"/>
              <w:bottom w:w="0" w:type="dxa"/>
              <w:right w:w="108" w:type="dxa"/>
            </w:tcMar>
          </w:tcPr>
          <w:p>
            <w:pPr>
              <w:spacing w:before="156" w:after="156"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通信局（站）电源系统总技术要求</w:t>
            </w:r>
          </w:p>
        </w:tc>
      </w:tr>
      <w:tr>
        <w:tblPrEx>
          <w:tblLayout w:type="fixed"/>
          <w:tblCellMar>
            <w:top w:w="0" w:type="dxa"/>
            <w:left w:w="0" w:type="dxa"/>
            <w:bottom w:w="0" w:type="dxa"/>
            <w:right w:w="0" w:type="dxa"/>
          </w:tblCellMar>
        </w:tblPrEx>
        <w:tc>
          <w:tcPr>
            <w:tcW w:w="1418" w:type="dxa"/>
            <w:tcMar>
              <w:top w:w="0" w:type="dxa"/>
              <w:left w:w="108" w:type="dxa"/>
              <w:bottom w:w="0" w:type="dxa"/>
              <w:right w:w="108" w:type="dxa"/>
            </w:tcMar>
          </w:tcPr>
          <w:p>
            <w:pPr>
              <w:spacing w:before="156" w:after="156"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YD/T 944-2007</w:t>
            </w:r>
          </w:p>
        </w:tc>
        <w:tc>
          <w:tcPr>
            <w:tcW w:w="5862" w:type="dxa"/>
            <w:tcMar>
              <w:top w:w="0" w:type="dxa"/>
              <w:left w:w="108" w:type="dxa"/>
              <w:bottom w:w="0" w:type="dxa"/>
              <w:right w:w="108" w:type="dxa"/>
            </w:tcMar>
          </w:tcPr>
          <w:p>
            <w:pPr>
              <w:spacing w:before="156" w:after="156"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通信电源设备的防雷技术要求和测试方法</w:t>
            </w:r>
          </w:p>
        </w:tc>
      </w:tr>
    </w:tbl>
    <w:p>
      <w:pPr>
        <w:widowControl/>
        <w:numPr>
          <w:ilvl w:val="6"/>
          <w:numId w:val="7"/>
        </w:numPr>
        <w:tabs>
          <w:tab w:val="left" w:pos="1701"/>
        </w:tabs>
        <w:spacing w:before="312" w:after="312" w:line="360" w:lineRule="auto"/>
        <w:ind w:right="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★投标方的设备必须满足GB/T2820往复式内燃机驱动的交流发电机组相关技术要求，机组带载特性不低于国家标准GB/T2820中规定的G3等级。</w:t>
      </w:r>
    </w:p>
    <w:p>
      <w:pPr>
        <w:widowControl/>
        <w:numPr>
          <w:ilvl w:val="6"/>
          <w:numId w:val="7"/>
        </w:numPr>
        <w:tabs>
          <w:tab w:val="left" w:pos="1701"/>
        </w:tabs>
        <w:spacing w:before="312" w:after="312" w:line="360" w:lineRule="auto"/>
        <w:ind w:right="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发电机组的安装工程应满足现行国家标准《工业企业厂界环境噪声排放标准》GB12348和《声环境质量标准》GB3096的要求。</w:t>
      </w:r>
    </w:p>
    <w:p>
      <w:pPr>
        <w:widowControl/>
        <w:numPr>
          <w:ilvl w:val="6"/>
          <w:numId w:val="7"/>
        </w:numPr>
        <w:tabs>
          <w:tab w:val="left" w:pos="1701"/>
        </w:tabs>
        <w:spacing w:before="312" w:after="312" w:line="360" w:lineRule="auto"/>
        <w:ind w:right="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A级数据中心供油系统的供电应采用双路电源，供油油泵及主供油管应冗余配置。</w:t>
      </w:r>
    </w:p>
    <w:p>
      <w:pPr>
        <w:widowControl/>
        <w:numPr>
          <w:ilvl w:val="6"/>
          <w:numId w:val="7"/>
        </w:numPr>
        <w:tabs>
          <w:tab w:val="left" w:pos="1701"/>
        </w:tabs>
        <w:spacing w:before="312" w:after="312" w:line="360" w:lineRule="auto"/>
        <w:ind w:right="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在发电机选型时应考虑带容性负载及非线性负载的能力。</w:t>
      </w:r>
    </w:p>
    <w:p>
      <w:pPr>
        <w:widowControl/>
        <w:numPr>
          <w:ilvl w:val="5"/>
          <w:numId w:val="7"/>
        </w:numPr>
        <w:tabs>
          <w:tab w:val="left" w:pos="800"/>
        </w:tabs>
        <w:spacing w:before="240" w:line="360" w:lineRule="auto"/>
        <w:ind w:left="814" w:hanging="41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在技术谈判的各个阶段，招标方将以书面形式要求投标方对有关问题进行进一步的技术澄清，投标方应以书面资料给予正式应答；所有各阶段的技术澄清文件都将作为合同附件。</w:t>
      </w:r>
    </w:p>
    <w:p>
      <w:pPr>
        <w:widowControl/>
        <w:numPr>
          <w:ilvl w:val="5"/>
          <w:numId w:val="7"/>
        </w:numPr>
        <w:tabs>
          <w:tab w:val="left" w:pos="800"/>
        </w:tabs>
        <w:spacing w:before="240" w:line="360" w:lineRule="auto"/>
        <w:ind w:left="814" w:hanging="41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招标方在任何时候都保留和拥有对本文件的解释权。招标方有权在签订合同前，根据需要修改和补充本技术规范书，修改补充后的最终技术规范书将作为合同的附件。</w:t>
      </w:r>
    </w:p>
    <w:p>
      <w:pPr>
        <w:widowControl/>
        <w:numPr>
          <w:ilvl w:val="5"/>
          <w:numId w:val="7"/>
        </w:numPr>
        <w:tabs>
          <w:tab w:val="left" w:pos="800"/>
        </w:tabs>
        <w:spacing w:before="240" w:line="360" w:lineRule="auto"/>
        <w:ind w:left="814" w:hanging="41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投标方在参与本项目中，对于招标方披露和提供的所有信息应作为商业秘密对待并予以保护，未经招标方授权不得将任何信息泄漏给第三方，否则招标方有权追究投标方的责任。</w:t>
      </w:r>
    </w:p>
    <w:p>
      <w:pPr>
        <w:widowControl/>
        <w:numPr>
          <w:ilvl w:val="5"/>
          <w:numId w:val="7"/>
        </w:numPr>
        <w:tabs>
          <w:tab w:val="left" w:pos="800"/>
        </w:tabs>
        <w:spacing w:before="240" w:line="360" w:lineRule="auto"/>
        <w:ind w:left="814" w:hanging="41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投标方对于技术规范书的应答应包括以下内容：</w:t>
      </w:r>
    </w:p>
    <w:p>
      <w:pPr>
        <w:widowControl/>
        <w:numPr>
          <w:ilvl w:val="0"/>
          <w:numId w:val="8"/>
        </w:numPr>
        <w:spacing w:line="360" w:lineRule="auto"/>
        <w:ind w:left="1195" w:hanging="39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提供投标机组主要设备、元器件的生产厂家和技术指标。</w:t>
      </w:r>
    </w:p>
    <w:p>
      <w:pPr>
        <w:widowControl/>
        <w:numPr>
          <w:ilvl w:val="0"/>
          <w:numId w:val="8"/>
        </w:numPr>
        <w:spacing w:line="360" w:lineRule="auto"/>
        <w:ind w:left="1195" w:hanging="39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提供投标机组的详细技术数据、结构（容量、尺寸和重量等）和用途说明、电路图和电气接线图、并机柜的电气图和机构图（以附件形式提供电子版）。</w:t>
      </w:r>
    </w:p>
    <w:p>
      <w:pPr>
        <w:widowControl/>
        <w:numPr>
          <w:ilvl w:val="0"/>
          <w:numId w:val="8"/>
        </w:numPr>
        <w:spacing w:line="360" w:lineRule="auto"/>
        <w:ind w:left="1195" w:hanging="39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提供投标机组在不同负载特性下（如功率因数等）的带负载能力（以附件形式提供电子版）</w:t>
      </w:r>
    </w:p>
    <w:p>
      <w:pPr>
        <w:widowControl/>
        <w:numPr>
          <w:ilvl w:val="0"/>
          <w:numId w:val="8"/>
        </w:numPr>
        <w:spacing w:line="360" w:lineRule="auto"/>
        <w:ind w:left="1195" w:hanging="39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投标机组要提供平均气缸压力曲线（以附件形式提供电子版）</w:t>
      </w:r>
    </w:p>
    <w:p>
      <w:pPr>
        <w:widowControl/>
        <w:numPr>
          <w:ilvl w:val="0"/>
          <w:numId w:val="8"/>
        </w:numPr>
        <w:spacing w:line="360" w:lineRule="auto"/>
        <w:ind w:left="1195" w:hanging="39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远程通信接口及控制软件的通信协议(以附件形式提供电子版)。</w:t>
      </w:r>
    </w:p>
    <w:p>
      <w:pPr>
        <w:widowControl/>
        <w:numPr>
          <w:ilvl w:val="0"/>
          <w:numId w:val="8"/>
        </w:numPr>
        <w:spacing w:line="360" w:lineRule="auto"/>
        <w:ind w:left="1195" w:hanging="39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投标机组的设备手册或安装保养、维护手册（以附件形式提供电子版）。</w:t>
      </w:r>
    </w:p>
    <w:p>
      <w:pPr>
        <w:widowControl/>
        <w:numPr>
          <w:ilvl w:val="0"/>
          <w:numId w:val="8"/>
        </w:numPr>
        <w:spacing w:line="360" w:lineRule="auto"/>
        <w:ind w:left="1195" w:hanging="39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投标机组的出厂检验报告样本。</w:t>
      </w:r>
    </w:p>
    <w:p>
      <w:pPr>
        <w:spacing w:line="360" w:lineRule="auto"/>
        <w:ind w:left="80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注：所有电子版附件应统一放置在独立的文件夹中，便于检索。</w:t>
      </w:r>
    </w:p>
    <w:p>
      <w:pPr>
        <w:spacing w:line="360" w:lineRule="auto"/>
        <w:rPr>
          <w:rFonts w:hint="eastAsia" w:ascii="仿宋_GB2312" w:hAnsi="仿宋_GB2312" w:eastAsia="仿宋_GB2312" w:cs="仿宋_GB2312"/>
          <w:sz w:val="28"/>
          <w:szCs w:val="28"/>
        </w:rPr>
      </w:pPr>
    </w:p>
    <w:p>
      <w:pPr>
        <w:pStyle w:val="2"/>
        <w:numPr>
          <w:ilvl w:val="0"/>
          <w:numId w:val="6"/>
        </w:numPr>
        <w:tabs>
          <w:tab w:val="left" w:pos="360"/>
        </w:tabs>
        <w:spacing w:line="360" w:lineRule="auto"/>
        <w:ind w:left="360" w:hanging="360"/>
        <w:jc w:val="center"/>
        <w:rPr>
          <w:rFonts w:hint="eastAsia" w:ascii="仿宋_GB2312" w:hAnsi="仿宋_GB2312" w:eastAsia="仿宋_GB2312" w:cs="仿宋_GB2312"/>
          <w:b/>
          <w:szCs w:val="28"/>
        </w:rPr>
      </w:pPr>
      <w:r>
        <w:rPr>
          <w:rFonts w:hint="eastAsia" w:ascii="仿宋_GB2312" w:hAnsi="仿宋_GB2312" w:eastAsia="仿宋_GB2312" w:cs="仿宋_GB2312"/>
          <w:b/>
          <w:szCs w:val="28"/>
        </w:rPr>
        <w:br w:type="page"/>
      </w:r>
      <w:bookmarkStart w:id="2" w:name="_Toc15030887"/>
      <w:r>
        <w:rPr>
          <w:rFonts w:hint="eastAsia" w:ascii="仿宋_GB2312" w:hAnsi="仿宋_GB2312" w:eastAsia="仿宋_GB2312" w:cs="仿宋_GB2312"/>
          <w:bCs/>
          <w:szCs w:val="28"/>
        </w:rPr>
        <w:t>招标范围</w:t>
      </w:r>
      <w:bookmarkEnd w:id="2"/>
    </w:p>
    <w:p>
      <w:pPr>
        <w:spacing w:before="156" w:after="312"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位于江苏省苏州常熟市。柴油发电机组按照供电量进行足额配备，发电机组采用室外集装箱形式外置，需要充分考虑设备进排风及排烟对于项目环境影响。所需发电机组并机运行（为N+1模式运行），并机母线为单母线，发电机的运行模式为市电失压后发电机组应根据相应负载情况自启动并机运行，市电恢复后手动关闭发电机组。</w:t>
      </w:r>
    </w:p>
    <w:p>
      <w:pPr>
        <w:pStyle w:val="52"/>
        <w:numPr>
          <w:ilvl w:val="0"/>
          <w:numId w:val="9"/>
        </w:numPr>
        <w:spacing w:line="360" w:lineRule="auto"/>
        <w:jc w:val="left"/>
        <w:outlineLvl w:val="0"/>
        <w:rPr>
          <w:rFonts w:hint="eastAsia" w:ascii="仿宋_GB2312" w:hAnsi="仿宋_GB2312" w:eastAsia="仿宋_GB2312" w:cs="仿宋_GB2312"/>
          <w:b/>
          <w:vanish/>
          <w:sz w:val="28"/>
          <w:szCs w:val="28"/>
        </w:rPr>
      </w:pPr>
      <w:bookmarkStart w:id="3" w:name="_Toc13282"/>
      <w:bookmarkEnd w:id="3"/>
      <w:bookmarkStart w:id="4" w:name="_Toc15030478"/>
      <w:bookmarkEnd w:id="4"/>
      <w:bookmarkStart w:id="5" w:name="_Toc11676196"/>
      <w:bookmarkEnd w:id="5"/>
      <w:bookmarkStart w:id="6" w:name="_Toc2503"/>
      <w:bookmarkEnd w:id="6"/>
      <w:bookmarkStart w:id="7" w:name="_Toc15030888"/>
      <w:bookmarkEnd w:id="7"/>
    </w:p>
    <w:p>
      <w:pPr>
        <w:pStyle w:val="52"/>
        <w:numPr>
          <w:ilvl w:val="0"/>
          <w:numId w:val="9"/>
        </w:numPr>
        <w:spacing w:line="360" w:lineRule="auto"/>
        <w:jc w:val="left"/>
        <w:outlineLvl w:val="0"/>
        <w:rPr>
          <w:rFonts w:hint="eastAsia" w:ascii="仿宋_GB2312" w:hAnsi="仿宋_GB2312" w:eastAsia="仿宋_GB2312" w:cs="仿宋_GB2312"/>
          <w:b/>
          <w:vanish/>
          <w:sz w:val="28"/>
          <w:szCs w:val="28"/>
        </w:rPr>
      </w:pPr>
      <w:bookmarkStart w:id="8" w:name="_Toc30536"/>
      <w:bookmarkEnd w:id="8"/>
      <w:bookmarkStart w:id="9" w:name="_Toc15030479"/>
      <w:bookmarkEnd w:id="9"/>
      <w:bookmarkStart w:id="10" w:name="_Toc15030889"/>
      <w:bookmarkEnd w:id="10"/>
      <w:bookmarkStart w:id="11" w:name="_Toc25722"/>
      <w:bookmarkEnd w:id="11"/>
      <w:bookmarkStart w:id="12" w:name="_Toc11676197"/>
      <w:bookmarkEnd w:id="12"/>
    </w:p>
    <w:p>
      <w:pPr>
        <w:pStyle w:val="2"/>
        <w:numPr>
          <w:ilvl w:val="1"/>
          <w:numId w:val="9"/>
        </w:numPr>
        <w:spacing w:line="360" w:lineRule="auto"/>
        <w:ind w:left="212" w:hanging="412"/>
        <w:rPr>
          <w:rFonts w:hint="eastAsia" w:ascii="仿宋_GB2312" w:hAnsi="仿宋_GB2312" w:eastAsia="仿宋_GB2312" w:cs="仿宋_GB2312"/>
          <w:szCs w:val="28"/>
        </w:rPr>
      </w:pPr>
      <w:bookmarkStart w:id="13" w:name="_Toc15030890"/>
      <w:r>
        <w:rPr>
          <w:rFonts w:hint="eastAsia" w:ascii="仿宋_GB2312" w:hAnsi="仿宋_GB2312" w:eastAsia="仿宋_GB2312" w:cs="仿宋_GB2312"/>
          <w:szCs w:val="28"/>
        </w:rPr>
        <w:t>★机组数量和品牌要求：</w:t>
      </w:r>
    </w:p>
    <w:tbl>
      <w:tblPr>
        <w:tblStyle w:val="38"/>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884"/>
        <w:gridCol w:w="3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shd w:val="clear" w:color="auto" w:fill="auto"/>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设备</w:t>
            </w:r>
          </w:p>
        </w:tc>
        <w:tc>
          <w:tcPr>
            <w:tcW w:w="1884" w:type="dxa"/>
            <w:shd w:val="clear" w:color="auto" w:fill="auto"/>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3786" w:type="dxa"/>
            <w:shd w:val="clear" w:color="auto" w:fill="auto"/>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品牌要求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shd w:val="clear" w:color="auto" w:fill="auto"/>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10.5KV柴油发电机组（PRP功率1800KW）</w:t>
            </w:r>
          </w:p>
        </w:tc>
        <w:tc>
          <w:tcPr>
            <w:tcW w:w="1884" w:type="dxa"/>
            <w:shd w:val="clear" w:color="auto" w:fill="auto"/>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3台</w:t>
            </w:r>
          </w:p>
        </w:tc>
        <w:tc>
          <w:tcPr>
            <w:tcW w:w="3786" w:type="dxa"/>
            <w:shd w:val="clear" w:color="auto" w:fill="auto"/>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卡特彼勒、MTU、康明斯电力。</w:t>
            </w:r>
            <w:r>
              <w:rPr>
                <w:rFonts w:hint="eastAsia" w:ascii="仿宋_GB2312" w:hAnsi="仿宋_GB2312" w:eastAsia="仿宋_GB2312" w:cs="仿宋_GB2312"/>
                <w:b/>
                <w:bCs/>
                <w:sz w:val="28"/>
                <w:szCs w:val="28"/>
              </w:rPr>
              <w:t>要求品牌原厂整机，拒绝OEM产品。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shd w:val="clear" w:color="auto" w:fill="auto"/>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其中：发动机</w:t>
            </w:r>
          </w:p>
        </w:tc>
        <w:tc>
          <w:tcPr>
            <w:tcW w:w="1884" w:type="dxa"/>
            <w:shd w:val="clear" w:color="auto" w:fill="auto"/>
          </w:tcPr>
          <w:p>
            <w:pPr>
              <w:rPr>
                <w:rFonts w:hint="eastAsia" w:ascii="仿宋_GB2312" w:hAnsi="仿宋_GB2312" w:eastAsia="仿宋_GB2312" w:cs="仿宋_GB2312"/>
                <w:sz w:val="28"/>
                <w:szCs w:val="28"/>
              </w:rPr>
            </w:pPr>
          </w:p>
        </w:tc>
        <w:tc>
          <w:tcPr>
            <w:tcW w:w="3786" w:type="dxa"/>
            <w:shd w:val="clear" w:color="auto" w:fill="auto"/>
          </w:tcPr>
          <w:p>
            <w:p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与机组品牌一致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shd w:val="clear" w:color="auto" w:fill="auto"/>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其中：发电机</w:t>
            </w:r>
          </w:p>
        </w:tc>
        <w:tc>
          <w:tcPr>
            <w:tcW w:w="1884" w:type="dxa"/>
            <w:shd w:val="clear" w:color="auto" w:fill="auto"/>
          </w:tcPr>
          <w:p>
            <w:pPr>
              <w:rPr>
                <w:rFonts w:hint="eastAsia" w:ascii="仿宋_GB2312" w:hAnsi="仿宋_GB2312" w:eastAsia="仿宋_GB2312" w:cs="仿宋_GB2312"/>
                <w:sz w:val="28"/>
                <w:szCs w:val="28"/>
              </w:rPr>
            </w:pPr>
          </w:p>
        </w:tc>
        <w:tc>
          <w:tcPr>
            <w:tcW w:w="3786" w:type="dxa"/>
            <w:shd w:val="clear" w:color="auto" w:fill="auto"/>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卡特彼勒、MTU、斯坦福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shd w:val="clear" w:color="auto" w:fill="auto"/>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其中：控制器</w:t>
            </w:r>
          </w:p>
        </w:tc>
        <w:tc>
          <w:tcPr>
            <w:tcW w:w="1884" w:type="dxa"/>
            <w:shd w:val="clear" w:color="auto" w:fill="auto"/>
          </w:tcPr>
          <w:p>
            <w:pPr>
              <w:rPr>
                <w:rFonts w:hint="eastAsia" w:ascii="仿宋_GB2312" w:hAnsi="仿宋_GB2312" w:eastAsia="仿宋_GB2312" w:cs="仿宋_GB2312"/>
                <w:sz w:val="28"/>
                <w:szCs w:val="28"/>
              </w:rPr>
            </w:pPr>
          </w:p>
        </w:tc>
        <w:tc>
          <w:tcPr>
            <w:tcW w:w="3786" w:type="dxa"/>
            <w:shd w:val="clear" w:color="auto" w:fill="auto"/>
          </w:tcPr>
          <w:p>
            <w:p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与机组品牌一致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shd w:val="clear" w:color="auto" w:fill="auto"/>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并机主控柜（</w:t>
            </w:r>
            <w:r>
              <w:rPr>
                <w:rFonts w:hint="eastAsia" w:ascii="仿宋_GB2312" w:hAnsi="仿宋_GB2312" w:eastAsia="仿宋_GB2312" w:cs="仿宋_GB2312"/>
                <w:b/>
                <w:bCs/>
                <w:sz w:val="28"/>
                <w:szCs w:val="28"/>
              </w:rPr>
              <w:t>每台配备独立PLC和触摸屏</w:t>
            </w:r>
            <w:r>
              <w:rPr>
                <w:rFonts w:hint="eastAsia" w:ascii="仿宋_GB2312" w:hAnsi="仿宋_GB2312" w:eastAsia="仿宋_GB2312" w:cs="仿宋_GB2312"/>
                <w:sz w:val="28"/>
                <w:szCs w:val="28"/>
              </w:rPr>
              <w:t>）</w:t>
            </w:r>
          </w:p>
        </w:tc>
        <w:tc>
          <w:tcPr>
            <w:tcW w:w="1884" w:type="dxa"/>
            <w:shd w:val="clear" w:color="auto" w:fill="auto"/>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2台（互为主备）</w:t>
            </w:r>
          </w:p>
        </w:tc>
        <w:tc>
          <w:tcPr>
            <w:tcW w:w="3786" w:type="dxa"/>
            <w:shd w:val="clear" w:color="auto" w:fill="auto"/>
          </w:tcPr>
          <w:p>
            <w:pPr>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PLC产品须为西门子、施耐德、ABB及同档</w:t>
            </w:r>
            <w:bookmarkStart w:id="51" w:name="_GoBack"/>
            <w:bookmarkEnd w:id="51"/>
            <w:r>
              <w:rPr>
                <w:rFonts w:hint="eastAsia" w:ascii="仿宋_GB2312" w:hAnsi="仿宋_GB2312" w:eastAsia="仿宋_GB2312" w:cs="仿宋_GB2312"/>
                <w:sz w:val="28"/>
                <w:szCs w:val="28"/>
                <w:lang w:val="en-US" w:eastAsia="zh-CN"/>
              </w:rPr>
              <w:t>次品牌</w:t>
            </w:r>
          </w:p>
        </w:tc>
      </w:tr>
    </w:tbl>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请投标方应答所投机组品牌型号，应答发动机、发电机、控制器和并机主控柜品牌。</w:t>
      </w:r>
    </w:p>
    <w:p>
      <w:pPr>
        <w:pStyle w:val="2"/>
        <w:numPr>
          <w:ilvl w:val="1"/>
          <w:numId w:val="9"/>
        </w:numPr>
        <w:spacing w:line="360" w:lineRule="auto"/>
        <w:ind w:left="212" w:hanging="412"/>
        <w:rPr>
          <w:rFonts w:hint="eastAsia" w:ascii="仿宋_GB2312" w:hAnsi="仿宋_GB2312" w:eastAsia="仿宋_GB2312" w:cs="仿宋_GB2312"/>
          <w:szCs w:val="28"/>
        </w:rPr>
      </w:pPr>
      <w:r>
        <w:rPr>
          <w:rFonts w:hint="eastAsia" w:ascii="仿宋_GB2312" w:hAnsi="仿宋_GB2312" w:eastAsia="仿宋_GB2312" w:cs="仿宋_GB2312"/>
          <w:szCs w:val="28"/>
        </w:rPr>
        <w:t>设备供应</w:t>
      </w:r>
      <w:bookmarkEnd w:id="13"/>
    </w:p>
    <w:p>
      <w:pPr>
        <w:widowControl/>
        <w:numPr>
          <w:ilvl w:val="5"/>
          <w:numId w:val="10"/>
        </w:numPr>
        <w:tabs>
          <w:tab w:val="left" w:pos="600"/>
        </w:tabs>
        <w:spacing w:before="156" w:after="312" w:line="360" w:lineRule="auto"/>
        <w:ind w:left="600" w:hanging="4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柴油发电机组本体（包括柴油发动机、发电机、底架、水箱与控制器等），要求投标所提供的每台机组应包括（但不限于）以下内容：</w:t>
      </w:r>
    </w:p>
    <w:p>
      <w:pPr>
        <w:widowControl/>
        <w:numPr>
          <w:ilvl w:val="6"/>
          <w:numId w:val="10"/>
        </w:numPr>
        <w:tabs>
          <w:tab w:val="left" w:pos="1000"/>
        </w:tabs>
        <w:spacing w:before="312" w:after="312" w:line="240" w:lineRule="auto"/>
        <w:ind w:left="1190" w:leftChars="300" w:right="200" w:hanging="560" w:hanging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柴油发动机。</w:t>
      </w:r>
    </w:p>
    <w:p>
      <w:pPr>
        <w:widowControl/>
        <w:numPr>
          <w:ilvl w:val="6"/>
          <w:numId w:val="10"/>
        </w:numPr>
        <w:tabs>
          <w:tab w:val="left" w:pos="1000"/>
        </w:tabs>
        <w:spacing w:before="312" w:after="312" w:line="240" w:lineRule="auto"/>
        <w:ind w:left="1190" w:leftChars="300" w:right="200" w:hanging="560" w:hanging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交流发电机。</w:t>
      </w:r>
    </w:p>
    <w:p>
      <w:pPr>
        <w:widowControl/>
        <w:numPr>
          <w:ilvl w:val="6"/>
          <w:numId w:val="10"/>
        </w:numPr>
        <w:tabs>
          <w:tab w:val="left" w:pos="1000"/>
        </w:tabs>
        <w:spacing w:before="312" w:after="312" w:line="240" w:lineRule="auto"/>
        <w:ind w:left="1190" w:leftChars="300" w:right="200" w:hanging="560" w:hanging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冷却系统：散热器环境温度45℃。</w:t>
      </w:r>
    </w:p>
    <w:p>
      <w:pPr>
        <w:widowControl/>
        <w:numPr>
          <w:ilvl w:val="6"/>
          <w:numId w:val="10"/>
        </w:numPr>
        <w:tabs>
          <w:tab w:val="left" w:pos="1000"/>
        </w:tabs>
        <w:spacing w:before="312" w:after="312" w:line="240" w:lineRule="auto"/>
        <w:ind w:left="1190" w:leftChars="300" w:right="200" w:hanging="560" w:hanging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附机式控制屏：控制系统和保护系统应包括但不限于：信号监测传感器、启动、停机、充电、显示装置及仪表,并可根据系统实现遥控、遥信等要求。</w:t>
      </w:r>
    </w:p>
    <w:p>
      <w:pPr>
        <w:widowControl/>
        <w:numPr>
          <w:ilvl w:val="6"/>
          <w:numId w:val="10"/>
        </w:numPr>
        <w:tabs>
          <w:tab w:val="left" w:pos="1000"/>
        </w:tabs>
        <w:spacing w:before="312" w:after="312" w:line="240" w:lineRule="auto"/>
        <w:ind w:left="1190" w:leftChars="300" w:right="200" w:hanging="560" w:hanging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启动电池及市电浮充：蓄电池选用原厂品牌或知名品牌，电池容量不小于1400CCA/200AH，24V以确保机组正常连续启动六次。</w:t>
      </w:r>
    </w:p>
    <w:p>
      <w:pPr>
        <w:widowControl/>
        <w:numPr>
          <w:ilvl w:val="6"/>
          <w:numId w:val="10"/>
        </w:numPr>
        <w:tabs>
          <w:tab w:val="left" w:pos="1000"/>
        </w:tabs>
        <w:spacing w:before="312" w:after="312" w:line="240" w:lineRule="auto"/>
        <w:ind w:left="1190" w:leftChars="300" w:right="200" w:hanging="560" w:hanging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配置排烟消音器、波纹管、排烟管道及其附件。</w:t>
      </w:r>
    </w:p>
    <w:p>
      <w:pPr>
        <w:widowControl/>
        <w:numPr>
          <w:ilvl w:val="6"/>
          <w:numId w:val="10"/>
        </w:numPr>
        <w:tabs>
          <w:tab w:val="left" w:pos="1000"/>
        </w:tabs>
        <w:spacing w:before="312" w:after="312" w:line="240" w:lineRule="auto"/>
        <w:ind w:left="1190" w:leftChars="300" w:right="200" w:hanging="560" w:hanging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配备泵循环式缸套水加热器及管件。</w:t>
      </w:r>
    </w:p>
    <w:p>
      <w:pPr>
        <w:widowControl/>
        <w:numPr>
          <w:ilvl w:val="6"/>
          <w:numId w:val="10"/>
        </w:numPr>
        <w:tabs>
          <w:tab w:val="left" w:pos="1000"/>
        </w:tabs>
        <w:spacing w:before="312" w:after="312" w:line="240" w:lineRule="auto"/>
        <w:ind w:left="1190" w:leftChars="300" w:right="200" w:hanging="560" w:hanging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配备发电机空间加热器。</w:t>
      </w:r>
    </w:p>
    <w:p>
      <w:pPr>
        <w:widowControl/>
        <w:numPr>
          <w:ilvl w:val="6"/>
          <w:numId w:val="10"/>
        </w:numPr>
        <w:tabs>
          <w:tab w:val="left" w:pos="1000"/>
        </w:tabs>
        <w:spacing w:before="312" w:after="312" w:line="240" w:lineRule="auto"/>
        <w:ind w:left="1190" w:leftChars="300" w:right="200" w:hanging="560" w:hanging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机座与箱体底板之间安装弹簧避震器、底脚螺栓等隔震装置；</w:t>
      </w:r>
    </w:p>
    <w:p>
      <w:pPr>
        <w:widowControl/>
        <w:numPr>
          <w:ilvl w:val="6"/>
          <w:numId w:val="10"/>
        </w:numPr>
        <w:tabs>
          <w:tab w:val="left" w:pos="1000"/>
        </w:tabs>
        <w:spacing w:before="312" w:after="312" w:line="240" w:lineRule="auto"/>
        <w:ind w:left="1190" w:leftChars="300" w:right="200" w:hanging="560" w:hanging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随机配备一套原厂三滤耗材；</w:t>
      </w:r>
    </w:p>
    <w:p>
      <w:pPr>
        <w:widowControl/>
        <w:numPr>
          <w:ilvl w:val="6"/>
          <w:numId w:val="10"/>
        </w:numPr>
        <w:tabs>
          <w:tab w:val="left" w:pos="1000"/>
        </w:tabs>
        <w:spacing w:before="312" w:after="312" w:line="240" w:lineRule="auto"/>
        <w:ind w:left="1190" w:leftChars="300" w:right="200" w:hanging="560" w:hanging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每台机组配套一套日常维护工具；</w:t>
      </w:r>
    </w:p>
    <w:p>
      <w:pPr>
        <w:widowControl/>
        <w:numPr>
          <w:ilvl w:val="6"/>
          <w:numId w:val="10"/>
        </w:numPr>
        <w:tabs>
          <w:tab w:val="left" w:pos="1000"/>
        </w:tabs>
        <w:spacing w:before="312" w:after="312" w:line="240" w:lineRule="auto"/>
        <w:ind w:left="1190" w:leftChars="300" w:right="200" w:hanging="560" w:hanging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机组加注原厂润滑油、可用6年的长效冷却液（-36℃）；</w:t>
      </w:r>
    </w:p>
    <w:p>
      <w:pPr>
        <w:widowControl/>
        <w:numPr>
          <w:ilvl w:val="6"/>
          <w:numId w:val="10"/>
        </w:numPr>
        <w:tabs>
          <w:tab w:val="left" w:pos="1000"/>
        </w:tabs>
        <w:spacing w:before="312" w:after="312" w:line="240" w:lineRule="auto"/>
        <w:ind w:left="1190" w:leftChars="300" w:right="200" w:hanging="560" w:hanging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柴发集装箱箱体；</w:t>
      </w:r>
    </w:p>
    <w:p>
      <w:pPr>
        <w:widowControl/>
        <w:numPr>
          <w:ilvl w:val="5"/>
          <w:numId w:val="10"/>
        </w:numPr>
        <w:tabs>
          <w:tab w:val="left" w:pos="600"/>
        </w:tabs>
        <w:spacing w:before="156" w:after="312" w:line="360" w:lineRule="auto"/>
        <w:ind w:left="600" w:hanging="4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并机控制系统；</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并机控制系统包括位于并机室内的并机控制柜系统，本次配置可满足远期5台发电机的并机控制。每台发电机组对应安装一个分控并机柜或机组控制屏含并机功能，当1台或几台发电组系统宕机后，不影响其它发电机组的并机。并机控制柜应设置主备用冗余的2台控制柜（每台配备独立的PLC和彩色触摸屏），主用控制柜宕机后，备用控制柜可实现发电机组并机及投切等。</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并机控制系统的主机和各机组之间的通信应采用环网或双链路，避免单点故障。控制柜提供自动起动/停止操作；发动机冷却停机延时；紧急停机；发动机盘车；指示灯测试；发电机电压；发电机转速/频率；数字仪表。</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主控柜选用PLC和彩色触摸屏，可实现系统监控及管理，并配套远程监控接口。具备负载管理和控制功能，可以显示发电机输出开关、馈电开关状态； </w:t>
      </w:r>
    </w:p>
    <w:p>
      <w:pPr>
        <w:tabs>
          <w:tab w:val="left" w:pos="1134"/>
        </w:tabs>
        <w:spacing w:before="156" w:after="312" w:line="360" w:lineRule="auto"/>
        <w:ind w:left="56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提供安装并机系统所需的所有控制线缆及桥架。</w:t>
      </w:r>
    </w:p>
    <w:p>
      <w:pPr>
        <w:widowControl/>
        <w:numPr>
          <w:ilvl w:val="5"/>
          <w:numId w:val="10"/>
        </w:numPr>
        <w:tabs>
          <w:tab w:val="left" w:pos="600"/>
        </w:tabs>
        <w:spacing w:before="156" w:after="312" w:line="360" w:lineRule="auto"/>
        <w:ind w:left="600" w:hanging="4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接地电阻柜；</w:t>
      </w:r>
    </w:p>
    <w:p>
      <w:pPr>
        <w:widowControl/>
        <w:numPr>
          <w:ilvl w:val="5"/>
          <w:numId w:val="10"/>
        </w:numPr>
        <w:tabs>
          <w:tab w:val="left" w:pos="600"/>
        </w:tabs>
        <w:spacing w:before="156" w:after="312" w:line="360" w:lineRule="auto"/>
        <w:ind w:left="600" w:hanging="4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日用燃油箱：本工程不设置地下储油罐，油机储油仅靠油机集装箱内的日用燃油箱实现，要求日用燃油箱容积净可用容积不小于2000L，并预留可不停机补油的接口。投标方可提供优化建议。</w:t>
      </w:r>
    </w:p>
    <w:p>
      <w:pPr>
        <w:widowControl/>
        <w:numPr>
          <w:ilvl w:val="5"/>
          <w:numId w:val="10"/>
        </w:numPr>
        <w:tabs>
          <w:tab w:val="left" w:pos="600"/>
        </w:tabs>
        <w:spacing w:before="156" w:after="312" w:line="360" w:lineRule="auto"/>
        <w:ind w:left="600" w:hanging="4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发电机组辅助设备配电箱、控制箱/柜；</w:t>
      </w:r>
    </w:p>
    <w:p>
      <w:pPr>
        <w:widowControl/>
        <w:numPr>
          <w:ilvl w:val="5"/>
          <w:numId w:val="10"/>
        </w:numPr>
        <w:tabs>
          <w:tab w:val="left" w:pos="600"/>
        </w:tabs>
        <w:spacing w:before="156" w:after="312" w:line="360" w:lineRule="auto"/>
        <w:ind w:left="600" w:hanging="4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全套中英文技术资料（包括安装、调试、使用、维护和保养说明书等）。</w:t>
      </w:r>
    </w:p>
    <w:p>
      <w:pPr>
        <w:pStyle w:val="2"/>
        <w:numPr>
          <w:ilvl w:val="1"/>
          <w:numId w:val="9"/>
        </w:numPr>
        <w:spacing w:line="360" w:lineRule="auto"/>
        <w:ind w:left="212" w:hanging="412"/>
        <w:rPr>
          <w:rFonts w:hint="eastAsia" w:ascii="仿宋_GB2312" w:hAnsi="仿宋_GB2312" w:eastAsia="仿宋_GB2312" w:cs="仿宋_GB2312"/>
          <w:b/>
          <w:szCs w:val="28"/>
        </w:rPr>
      </w:pPr>
      <w:bookmarkStart w:id="14" w:name="_Toc15030891"/>
      <w:r>
        <w:rPr>
          <w:rFonts w:hint="eastAsia" w:ascii="仿宋_GB2312" w:hAnsi="仿宋_GB2312" w:eastAsia="仿宋_GB2312" w:cs="仿宋_GB2312"/>
          <w:b/>
          <w:szCs w:val="28"/>
        </w:rPr>
        <w:t>安装工程</w:t>
      </w:r>
      <w:bookmarkEnd w:id="14"/>
    </w:p>
    <w:p>
      <w:pPr>
        <w:spacing w:before="312"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投标商负责整套发电机系统及其配套系统设备安装所需的材料供应及施工及调试，包括（但不局限于）以下内容：</w:t>
      </w:r>
    </w:p>
    <w:p>
      <w:pPr>
        <w:widowControl/>
        <w:numPr>
          <w:ilvl w:val="5"/>
          <w:numId w:val="11"/>
        </w:numPr>
        <w:spacing w:before="240" w:line="360" w:lineRule="auto"/>
        <w:ind w:left="577" w:hanging="576" w:hangingChars="20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整套发电机组的安装（含吊装），以下将详细说明。包括启动电池、充电器、铁架基座避震及排烟隔声组件等。</w:t>
      </w:r>
    </w:p>
    <w:p>
      <w:pPr>
        <w:widowControl/>
        <w:numPr>
          <w:ilvl w:val="5"/>
          <w:numId w:val="11"/>
        </w:numPr>
        <w:spacing w:before="156" w:after="312" w:line="360" w:lineRule="auto"/>
        <w:ind w:left="577" w:hanging="576" w:hangingChars="20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并联控制系统安装(含控制，保护等装置以完成成套运行所需设备安装)。</w:t>
      </w:r>
    </w:p>
    <w:p>
      <w:pPr>
        <w:widowControl/>
        <w:numPr>
          <w:ilvl w:val="5"/>
          <w:numId w:val="11"/>
        </w:numPr>
        <w:spacing w:before="156" w:after="312" w:line="360" w:lineRule="auto"/>
        <w:ind w:left="577" w:hanging="576" w:hangingChars="20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全套排烟系统安装。</w:t>
      </w:r>
    </w:p>
    <w:p>
      <w:pPr>
        <w:widowControl/>
        <w:numPr>
          <w:ilvl w:val="5"/>
          <w:numId w:val="11"/>
        </w:numPr>
        <w:spacing w:before="156" w:after="312" w:line="360" w:lineRule="auto"/>
        <w:ind w:left="577" w:hanging="576" w:hangingChars="20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集装箱机组降噪系统（含箱体内墙壁消音，进排风消音）满足对应规范要求，且距机组1米处的平均噪音不大于85±2dBA。</w:t>
      </w:r>
    </w:p>
    <w:p>
      <w:pPr>
        <w:widowControl/>
        <w:numPr>
          <w:ilvl w:val="5"/>
          <w:numId w:val="11"/>
        </w:numPr>
        <w:spacing w:before="156" w:after="312" w:line="360" w:lineRule="auto"/>
        <w:ind w:left="577" w:hanging="576" w:hangingChars="20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供应及安装完成发电机及供油系统正常运转功能所需的控制柜、电缆(含电缆接头，接线头，电缆套，标牌（电缆牌、阀门牌、指示牌），高压检测等。</w:t>
      </w:r>
    </w:p>
    <w:p>
      <w:pPr>
        <w:widowControl/>
        <w:numPr>
          <w:ilvl w:val="5"/>
          <w:numId w:val="11"/>
        </w:numPr>
        <w:spacing w:before="156" w:after="312" w:line="360" w:lineRule="auto"/>
        <w:ind w:left="577" w:hanging="576" w:hangingChars="20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箱体内照明、消防 、日用油箱（大于等于2000L）以及箱体安装。</w:t>
      </w:r>
    </w:p>
    <w:p>
      <w:pPr>
        <w:widowControl/>
        <w:numPr>
          <w:ilvl w:val="5"/>
          <w:numId w:val="11"/>
        </w:numPr>
        <w:spacing w:before="156" w:after="312" w:line="360" w:lineRule="auto"/>
        <w:ind w:left="577" w:hanging="576" w:hangingChars="20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安装完成启动电池的市电浮充。</w:t>
      </w:r>
    </w:p>
    <w:p>
      <w:pPr>
        <w:widowControl/>
        <w:numPr>
          <w:ilvl w:val="5"/>
          <w:numId w:val="11"/>
        </w:numPr>
        <w:spacing w:before="156" w:after="312" w:line="360" w:lineRule="auto"/>
        <w:ind w:left="577" w:hanging="576" w:hangingChars="20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设备接地，接地电阻柜放置在集装箱箱体内。</w:t>
      </w:r>
    </w:p>
    <w:p>
      <w:pPr>
        <w:widowControl/>
        <w:numPr>
          <w:ilvl w:val="5"/>
          <w:numId w:val="11"/>
        </w:numPr>
        <w:spacing w:before="156" w:after="312" w:line="360" w:lineRule="auto"/>
        <w:ind w:left="577" w:hanging="576" w:hangingChars="20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本工程为交钥匙工程。</w:t>
      </w:r>
    </w:p>
    <w:p>
      <w:pPr>
        <w:pStyle w:val="2"/>
        <w:numPr>
          <w:ilvl w:val="0"/>
          <w:numId w:val="6"/>
        </w:numPr>
        <w:tabs>
          <w:tab w:val="left" w:pos="360"/>
        </w:tabs>
        <w:spacing w:line="360" w:lineRule="auto"/>
        <w:ind w:left="360" w:hanging="360"/>
        <w:jc w:val="center"/>
        <w:rPr>
          <w:rFonts w:hint="eastAsia" w:ascii="仿宋_GB2312" w:hAnsi="仿宋_GB2312" w:eastAsia="仿宋_GB2312" w:cs="仿宋_GB2312"/>
          <w:b/>
          <w:szCs w:val="28"/>
        </w:rPr>
      </w:pPr>
      <w:r>
        <w:rPr>
          <w:rFonts w:hint="eastAsia" w:ascii="仿宋_GB2312" w:hAnsi="仿宋_GB2312" w:eastAsia="仿宋_GB2312" w:cs="仿宋_GB2312"/>
          <w:b/>
          <w:szCs w:val="28"/>
        </w:rPr>
        <w:br w:type="page"/>
      </w:r>
      <w:bookmarkStart w:id="15" w:name="_Toc15030892"/>
      <w:r>
        <w:rPr>
          <w:rFonts w:hint="eastAsia" w:ascii="仿宋_GB2312" w:hAnsi="仿宋_GB2312" w:eastAsia="仿宋_GB2312" w:cs="仿宋_GB2312"/>
          <w:bCs/>
          <w:szCs w:val="28"/>
        </w:rPr>
        <w:t>设备详细参数要求</w:t>
      </w:r>
      <w:bookmarkEnd w:id="15"/>
    </w:p>
    <w:p>
      <w:pPr>
        <w:pStyle w:val="52"/>
        <w:numPr>
          <w:ilvl w:val="0"/>
          <w:numId w:val="9"/>
        </w:numPr>
        <w:spacing w:line="360" w:lineRule="auto"/>
        <w:jc w:val="left"/>
        <w:outlineLvl w:val="0"/>
        <w:rPr>
          <w:rFonts w:hint="eastAsia" w:ascii="仿宋_GB2312" w:hAnsi="仿宋_GB2312" w:eastAsia="仿宋_GB2312" w:cs="仿宋_GB2312"/>
          <w:vanish/>
          <w:sz w:val="28"/>
          <w:szCs w:val="28"/>
        </w:rPr>
      </w:pPr>
      <w:bookmarkStart w:id="16" w:name="_Toc15030483"/>
      <w:bookmarkEnd w:id="16"/>
      <w:bookmarkStart w:id="17" w:name="_Toc15030893"/>
      <w:bookmarkEnd w:id="17"/>
      <w:bookmarkStart w:id="18" w:name="_Toc15929"/>
      <w:bookmarkEnd w:id="18"/>
      <w:bookmarkStart w:id="19" w:name="_Toc11676201"/>
      <w:bookmarkEnd w:id="19"/>
    </w:p>
    <w:p>
      <w:pPr>
        <w:pStyle w:val="2"/>
        <w:numPr>
          <w:ilvl w:val="1"/>
          <w:numId w:val="9"/>
        </w:numPr>
        <w:spacing w:line="360" w:lineRule="auto"/>
        <w:ind w:left="1260" w:hanging="992"/>
        <w:rPr>
          <w:rFonts w:hint="eastAsia" w:ascii="仿宋_GB2312" w:hAnsi="仿宋_GB2312" w:eastAsia="仿宋_GB2312" w:cs="仿宋_GB2312"/>
          <w:b/>
          <w:szCs w:val="28"/>
        </w:rPr>
      </w:pPr>
      <w:bookmarkStart w:id="20" w:name="_Toc15030894"/>
      <w:r>
        <w:rPr>
          <w:rFonts w:hint="eastAsia" w:ascii="仿宋_GB2312" w:hAnsi="仿宋_GB2312" w:eastAsia="仿宋_GB2312" w:cs="仿宋_GB2312"/>
          <w:b/>
          <w:szCs w:val="28"/>
        </w:rPr>
        <w:t>柴油发电机组主要参数要求</w:t>
      </w:r>
      <w:bookmarkEnd w:id="20"/>
    </w:p>
    <w:p>
      <w:pPr>
        <w:spacing w:before="240" w:line="360" w:lineRule="auto"/>
        <w:ind w:left="614" w:hanging="21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★基本功率（PRP）：</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1800KW；发电机组功率是指除掉水箱风扇，水泵和油泵自耗后的发电机组净输出功率。以制造商原始数据单描述为准，需提供设备制造商对此要求进行承诺。</w:t>
      </w:r>
    </w:p>
    <w:p>
      <w:pPr>
        <w:widowControl/>
        <w:numPr>
          <w:ilvl w:val="5"/>
          <w:numId w:val="12"/>
        </w:numPr>
        <w:spacing w:before="240" w:line="360" w:lineRule="auto"/>
        <w:ind w:left="814" w:leftChars="300" w:hanging="184" w:hangingChars="6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★额定电压：10.5kV</w:t>
      </w:r>
    </w:p>
    <w:p>
      <w:pPr>
        <w:widowControl/>
        <w:numPr>
          <w:ilvl w:val="5"/>
          <w:numId w:val="12"/>
        </w:numPr>
        <w:spacing w:before="240" w:line="360" w:lineRule="auto"/>
        <w:ind w:left="814" w:leftChars="300" w:hanging="184" w:hangingChars="6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额定功率因数：0.8（滞后）</w:t>
      </w:r>
    </w:p>
    <w:p>
      <w:pPr>
        <w:widowControl/>
        <w:numPr>
          <w:ilvl w:val="5"/>
          <w:numId w:val="12"/>
        </w:numPr>
        <w:spacing w:before="240" w:line="360" w:lineRule="auto"/>
        <w:ind w:left="814" w:leftChars="300" w:hanging="184" w:hangingChars="6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额定转速/频率：1500rpm/50Hz</w:t>
      </w:r>
    </w:p>
    <w:p>
      <w:pPr>
        <w:widowControl/>
        <w:numPr>
          <w:ilvl w:val="5"/>
          <w:numId w:val="12"/>
        </w:numPr>
        <w:spacing w:before="240" w:line="360" w:lineRule="auto"/>
        <w:ind w:left="814" w:leftChars="300" w:hanging="184" w:hangingChars="6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输出连接：三相三线。</w:t>
      </w:r>
    </w:p>
    <w:p>
      <w:pPr>
        <w:widowControl/>
        <w:numPr>
          <w:ilvl w:val="5"/>
          <w:numId w:val="12"/>
        </w:numPr>
        <w:spacing w:before="240" w:line="360" w:lineRule="auto"/>
        <w:ind w:left="814" w:leftChars="300" w:hanging="184" w:hangingChars="6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发电机的性能等级不应低于G3级。</w:t>
      </w:r>
    </w:p>
    <w:p>
      <w:pPr>
        <w:pStyle w:val="2"/>
        <w:numPr>
          <w:ilvl w:val="2"/>
          <w:numId w:val="9"/>
        </w:numPr>
        <w:spacing w:line="360" w:lineRule="auto"/>
        <w:ind w:left="1680" w:hanging="1418"/>
        <w:rPr>
          <w:rFonts w:hint="eastAsia" w:ascii="仿宋_GB2312" w:hAnsi="仿宋_GB2312" w:eastAsia="仿宋_GB2312" w:cs="仿宋_GB2312"/>
          <w:b/>
          <w:szCs w:val="28"/>
        </w:rPr>
      </w:pPr>
      <w:bookmarkStart w:id="21" w:name="_Toc15030895"/>
      <w:r>
        <w:rPr>
          <w:rFonts w:hint="eastAsia" w:ascii="仿宋_GB2312" w:hAnsi="仿宋_GB2312" w:eastAsia="仿宋_GB2312" w:cs="仿宋_GB2312"/>
          <w:b/>
          <w:szCs w:val="28"/>
        </w:rPr>
        <w:t>发电机组性能：</w:t>
      </w:r>
      <w:bookmarkEnd w:id="21"/>
    </w:p>
    <w:p>
      <w:pPr>
        <w:widowControl/>
        <w:numPr>
          <w:ilvl w:val="5"/>
          <w:numId w:val="13"/>
        </w:numPr>
        <w:spacing w:before="240" w:line="360" w:lineRule="auto"/>
        <w:ind w:left="814" w:hanging="41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机组在常温（增压机组不低于10℃）下经三次启动应能成功，两次启动的时间间隔为10s，启动成功率应大于99％。启动成功后应能在3min（1min）内带100%负载运行。</w:t>
      </w:r>
    </w:p>
    <w:p>
      <w:pPr>
        <w:widowControl/>
        <w:numPr>
          <w:ilvl w:val="5"/>
          <w:numId w:val="13"/>
        </w:numPr>
        <w:spacing w:before="240" w:line="360" w:lineRule="auto"/>
        <w:ind w:left="814" w:hanging="41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开机指令发出后至允许首次加载50%负荷（pf=1.0）的时间（s）≤6s</w:t>
      </w:r>
    </w:p>
    <w:p>
      <w:pPr>
        <w:widowControl/>
        <w:numPr>
          <w:ilvl w:val="5"/>
          <w:numId w:val="13"/>
        </w:numPr>
        <w:spacing w:before="240" w:line="360" w:lineRule="auto"/>
        <w:ind w:left="814" w:hanging="41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稳态电压调整率：≤±0.5%</w:t>
      </w:r>
    </w:p>
    <w:p>
      <w:pPr>
        <w:widowControl/>
        <w:numPr>
          <w:ilvl w:val="5"/>
          <w:numId w:val="13"/>
        </w:numPr>
        <w:spacing w:before="240" w:line="360" w:lineRule="auto"/>
        <w:ind w:left="814" w:hanging="41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电压波动率：≤±0.5%</w:t>
      </w:r>
    </w:p>
    <w:p>
      <w:pPr>
        <w:widowControl/>
        <w:numPr>
          <w:ilvl w:val="5"/>
          <w:numId w:val="13"/>
        </w:numPr>
        <w:spacing w:before="240" w:line="360" w:lineRule="auto"/>
        <w:ind w:left="814" w:hanging="41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电压波形的正弦性畸变率≤5%</w:t>
      </w:r>
    </w:p>
    <w:p>
      <w:pPr>
        <w:widowControl/>
        <w:numPr>
          <w:ilvl w:val="5"/>
          <w:numId w:val="13"/>
        </w:numPr>
        <w:spacing w:before="240" w:line="360" w:lineRule="auto"/>
        <w:ind w:left="814" w:hanging="41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瞬态频率调整率：≤±10% (50%负载突加、突减时)</w:t>
      </w:r>
    </w:p>
    <w:p>
      <w:pPr>
        <w:widowControl/>
        <w:numPr>
          <w:ilvl w:val="5"/>
          <w:numId w:val="13"/>
        </w:numPr>
        <w:spacing w:before="240" w:line="360" w:lineRule="auto"/>
        <w:ind w:left="814" w:hanging="41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频率稳定时间（S）：≤5 (50%负载突加、突减时)   </w:t>
      </w:r>
    </w:p>
    <w:p>
      <w:pPr>
        <w:widowControl/>
        <w:numPr>
          <w:ilvl w:val="5"/>
          <w:numId w:val="13"/>
        </w:numPr>
        <w:spacing w:before="240" w:line="360" w:lineRule="auto"/>
        <w:ind w:left="814" w:hanging="41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稳态频率调整率：≤±0.25%</w:t>
      </w:r>
    </w:p>
    <w:p>
      <w:pPr>
        <w:widowControl/>
        <w:numPr>
          <w:ilvl w:val="5"/>
          <w:numId w:val="13"/>
        </w:numPr>
        <w:spacing w:before="240" w:line="360" w:lineRule="auto"/>
        <w:ind w:left="814" w:hanging="41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频率波动率：≤0.25%</w:t>
      </w:r>
    </w:p>
    <w:p>
      <w:pPr>
        <w:widowControl/>
        <w:numPr>
          <w:ilvl w:val="5"/>
          <w:numId w:val="13"/>
        </w:numPr>
        <w:spacing w:before="240" w:line="360" w:lineRule="auto"/>
        <w:ind w:left="814" w:hanging="41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中性点接地方式：电阻接地</w:t>
      </w:r>
    </w:p>
    <w:p>
      <w:pPr>
        <w:widowControl/>
        <w:numPr>
          <w:ilvl w:val="5"/>
          <w:numId w:val="13"/>
        </w:numPr>
        <w:spacing w:before="240" w:line="360" w:lineRule="auto"/>
        <w:ind w:left="814" w:hanging="41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燃油型号：国产轻柴油</w:t>
      </w:r>
    </w:p>
    <w:p>
      <w:pPr>
        <w:widowControl/>
        <w:numPr>
          <w:ilvl w:val="5"/>
          <w:numId w:val="13"/>
        </w:numPr>
        <w:spacing w:before="240" w:line="360" w:lineRule="auto"/>
        <w:ind w:left="814" w:hanging="41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机组噪音（dB(A)）：≤85（距机组1米处）</w:t>
      </w:r>
    </w:p>
    <w:p>
      <w:pPr>
        <w:widowControl/>
        <w:numPr>
          <w:ilvl w:val="5"/>
          <w:numId w:val="13"/>
        </w:numPr>
        <w:spacing w:before="240" w:line="360" w:lineRule="auto"/>
        <w:ind w:left="814" w:hanging="41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机组振动（100%负荷时）的单振幅值不大于0.5mm</w:t>
      </w:r>
    </w:p>
    <w:p>
      <w:pPr>
        <w:widowControl/>
        <w:numPr>
          <w:ilvl w:val="5"/>
          <w:numId w:val="13"/>
        </w:numPr>
        <w:spacing w:before="240" w:line="360" w:lineRule="auto"/>
        <w:ind w:left="814" w:hanging="41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发电机在承受1.5倍的超速运行时不发生有害变形</w:t>
      </w:r>
    </w:p>
    <w:p>
      <w:pPr>
        <w:widowControl/>
        <w:numPr>
          <w:ilvl w:val="5"/>
          <w:numId w:val="13"/>
        </w:numPr>
        <w:spacing w:before="240" w:line="360" w:lineRule="auto"/>
        <w:ind w:left="814" w:hanging="41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发电机额定工况效率：≥95%</w:t>
      </w:r>
    </w:p>
    <w:p>
      <w:pPr>
        <w:widowControl/>
        <w:numPr>
          <w:ilvl w:val="5"/>
          <w:numId w:val="13"/>
        </w:numPr>
        <w:spacing w:before="240" w:line="360" w:lineRule="auto"/>
        <w:ind w:left="814" w:hanging="41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大修时间间隔：运行累计不少于20000h，需提供原厂证明文件。</w:t>
      </w:r>
    </w:p>
    <w:p>
      <w:pPr>
        <w:widowControl/>
        <w:numPr>
          <w:ilvl w:val="5"/>
          <w:numId w:val="13"/>
        </w:numPr>
        <w:spacing w:before="240" w:line="360" w:lineRule="auto"/>
        <w:ind w:left="814" w:hanging="41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配备缸套水加热器及空间防潮加热器</w:t>
      </w:r>
    </w:p>
    <w:p>
      <w:pPr>
        <w:widowControl/>
        <w:numPr>
          <w:ilvl w:val="5"/>
          <w:numId w:val="13"/>
        </w:numPr>
        <w:spacing w:before="240" w:line="360" w:lineRule="auto"/>
        <w:ind w:left="814" w:hanging="41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满足项目现场环境使用要求，设备全季节使用不能有功率降。</w:t>
      </w:r>
    </w:p>
    <w:p>
      <w:pPr>
        <w:widowControl/>
        <w:numPr>
          <w:ilvl w:val="5"/>
          <w:numId w:val="13"/>
        </w:numPr>
        <w:spacing w:before="240" w:line="360" w:lineRule="auto"/>
        <w:ind w:left="814" w:hanging="41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机组突加50%负载时输出指标可满足G3要求。</w:t>
      </w:r>
    </w:p>
    <w:p>
      <w:pPr>
        <w:pStyle w:val="2"/>
        <w:numPr>
          <w:ilvl w:val="2"/>
          <w:numId w:val="9"/>
        </w:numPr>
        <w:spacing w:line="360" w:lineRule="auto"/>
        <w:ind w:left="1680" w:hanging="1418"/>
        <w:rPr>
          <w:rFonts w:hint="eastAsia" w:ascii="仿宋_GB2312" w:hAnsi="仿宋_GB2312" w:eastAsia="仿宋_GB2312" w:cs="仿宋_GB2312"/>
          <w:b/>
          <w:szCs w:val="28"/>
        </w:rPr>
      </w:pPr>
      <w:bookmarkStart w:id="22" w:name="_Toc15030896"/>
      <w:r>
        <w:rPr>
          <w:rFonts w:hint="eastAsia" w:ascii="仿宋_GB2312" w:hAnsi="仿宋_GB2312" w:eastAsia="仿宋_GB2312" w:cs="仿宋_GB2312"/>
          <w:b/>
          <w:szCs w:val="28"/>
        </w:rPr>
        <w:t>柴油发动机主要参数要求</w:t>
      </w:r>
      <w:bookmarkEnd w:id="22"/>
    </w:p>
    <w:p>
      <w:pPr>
        <w:widowControl/>
        <w:numPr>
          <w:ilvl w:val="5"/>
          <w:numId w:val="14"/>
        </w:numPr>
        <w:spacing w:before="240" w:line="360" w:lineRule="auto"/>
        <w:ind w:left="814" w:hanging="41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型式: 涡轮增压型发动机，缸数/型式≥16 /V型</w:t>
      </w:r>
    </w:p>
    <w:p>
      <w:pPr>
        <w:widowControl/>
        <w:numPr>
          <w:ilvl w:val="5"/>
          <w:numId w:val="14"/>
        </w:numPr>
        <w:spacing w:before="240" w:line="360" w:lineRule="auto"/>
        <w:ind w:left="814" w:hanging="41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★燃油喷射方式：电喷（提供电喷发动机电控模块，及电喷发动机工作原理说明）</w:t>
      </w:r>
    </w:p>
    <w:p>
      <w:pPr>
        <w:widowControl/>
        <w:numPr>
          <w:ilvl w:val="5"/>
          <w:numId w:val="14"/>
        </w:numPr>
        <w:spacing w:before="240" w:line="360" w:lineRule="auto"/>
        <w:ind w:left="814" w:hanging="41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发动机排量：≥60L </w:t>
      </w:r>
    </w:p>
    <w:p>
      <w:pPr>
        <w:widowControl/>
        <w:numPr>
          <w:ilvl w:val="5"/>
          <w:numId w:val="14"/>
        </w:numPr>
        <w:spacing w:before="240" w:line="360" w:lineRule="auto"/>
        <w:ind w:left="814" w:hanging="41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额定速度（转/分）：1500</w:t>
      </w:r>
    </w:p>
    <w:p>
      <w:pPr>
        <w:widowControl/>
        <w:numPr>
          <w:ilvl w:val="5"/>
          <w:numId w:val="14"/>
        </w:numPr>
        <w:spacing w:before="240" w:line="360" w:lineRule="auto"/>
        <w:ind w:left="814" w:hanging="41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额定转速下，发动机轴端输出功率满足机组满载功率需求，提供发动机原厂数据。</w:t>
      </w:r>
    </w:p>
    <w:p>
      <w:pPr>
        <w:widowControl/>
        <w:numPr>
          <w:ilvl w:val="5"/>
          <w:numId w:val="14"/>
        </w:numPr>
        <w:spacing w:before="240" w:line="360" w:lineRule="auto"/>
        <w:ind w:left="814" w:hanging="41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发动机调速方式：数字式电子调速</w:t>
      </w:r>
    </w:p>
    <w:p>
      <w:pPr>
        <w:widowControl/>
        <w:numPr>
          <w:ilvl w:val="5"/>
          <w:numId w:val="14"/>
        </w:numPr>
        <w:spacing w:before="240" w:line="360" w:lineRule="auto"/>
        <w:ind w:left="814" w:hanging="41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散热水箱冷却方式：请答复投标机组采用的轴驱还是电机驱动方式。</w:t>
      </w:r>
    </w:p>
    <w:p>
      <w:pPr>
        <w:widowControl/>
        <w:numPr>
          <w:ilvl w:val="5"/>
          <w:numId w:val="14"/>
        </w:numPr>
        <w:spacing w:before="240" w:line="360" w:lineRule="auto"/>
        <w:ind w:left="814" w:hanging="41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启动方式：2×直流24V电启动马达</w:t>
      </w:r>
    </w:p>
    <w:p>
      <w:pPr>
        <w:widowControl/>
        <w:numPr>
          <w:ilvl w:val="5"/>
          <w:numId w:val="14"/>
        </w:numPr>
        <w:spacing w:before="240" w:line="360" w:lineRule="auto"/>
        <w:ind w:left="814" w:hanging="41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充电机：发动机自带充电机</w:t>
      </w:r>
    </w:p>
    <w:p>
      <w:pPr>
        <w:widowControl/>
        <w:numPr>
          <w:ilvl w:val="5"/>
          <w:numId w:val="14"/>
        </w:numPr>
        <w:spacing w:before="240" w:line="360" w:lineRule="auto"/>
        <w:ind w:left="814" w:hanging="41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启动电池：提供发电机组原厂电池及连接电缆，电池容量应满足机组连续6次启动所需电量。</w:t>
      </w:r>
    </w:p>
    <w:p>
      <w:pPr>
        <w:widowControl/>
        <w:numPr>
          <w:ilvl w:val="5"/>
          <w:numId w:val="14"/>
        </w:numPr>
        <w:spacing w:before="240" w:line="360" w:lineRule="auto"/>
        <w:ind w:left="814" w:hanging="41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浮充充电器输入AC220V，输出为DC24V</w:t>
      </w:r>
    </w:p>
    <w:p>
      <w:pPr>
        <w:widowControl/>
        <w:numPr>
          <w:ilvl w:val="5"/>
          <w:numId w:val="14"/>
        </w:numPr>
        <w:spacing w:before="240" w:line="360" w:lineRule="auto"/>
        <w:ind w:left="814" w:hanging="41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冷却方式为闭式水循环风冷</w:t>
      </w:r>
    </w:p>
    <w:p>
      <w:pPr>
        <w:widowControl/>
        <w:numPr>
          <w:ilvl w:val="5"/>
          <w:numId w:val="14"/>
        </w:numPr>
        <w:spacing w:before="240" w:line="360" w:lineRule="auto"/>
        <w:ind w:left="814" w:hanging="41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进气方式：涡轮增压</w:t>
      </w:r>
    </w:p>
    <w:p>
      <w:pPr>
        <w:widowControl/>
        <w:numPr>
          <w:ilvl w:val="5"/>
          <w:numId w:val="14"/>
        </w:numPr>
        <w:spacing w:before="240" w:line="360" w:lineRule="auto"/>
        <w:ind w:left="814" w:hanging="41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投标人在投标时须提供机组在满负荷、3/4负荷、1/2负荷时燃油消耗量表</w:t>
      </w:r>
    </w:p>
    <w:p>
      <w:pPr>
        <w:widowControl/>
        <w:numPr>
          <w:ilvl w:val="5"/>
          <w:numId w:val="14"/>
        </w:numPr>
        <w:spacing w:before="240" w:line="360" w:lineRule="auto"/>
        <w:ind w:left="814" w:hanging="41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耗油率 (100%负载)：需提供发动机原厂数据</w:t>
      </w:r>
    </w:p>
    <w:p>
      <w:pPr>
        <w:widowControl/>
        <w:numPr>
          <w:ilvl w:val="5"/>
          <w:numId w:val="14"/>
        </w:numPr>
        <w:spacing w:before="240" w:line="360" w:lineRule="auto"/>
        <w:ind w:left="814" w:hanging="41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发动机组具有故障自诊断功能，可直接显示故障代码。</w:t>
      </w:r>
    </w:p>
    <w:p>
      <w:pPr>
        <w:pStyle w:val="2"/>
        <w:numPr>
          <w:ilvl w:val="2"/>
          <w:numId w:val="9"/>
        </w:numPr>
        <w:spacing w:line="360" w:lineRule="auto"/>
        <w:ind w:left="1680" w:hanging="1418"/>
        <w:rPr>
          <w:rFonts w:hint="eastAsia" w:ascii="仿宋_GB2312" w:hAnsi="仿宋_GB2312" w:eastAsia="仿宋_GB2312" w:cs="仿宋_GB2312"/>
          <w:b/>
          <w:szCs w:val="28"/>
        </w:rPr>
      </w:pPr>
      <w:bookmarkStart w:id="23" w:name="_Toc15030897"/>
      <w:r>
        <w:rPr>
          <w:rFonts w:hint="eastAsia" w:ascii="仿宋_GB2312" w:hAnsi="仿宋_GB2312" w:eastAsia="仿宋_GB2312" w:cs="仿宋_GB2312"/>
          <w:b/>
          <w:szCs w:val="28"/>
        </w:rPr>
        <w:t>交流发电机主要参数要求</w:t>
      </w:r>
      <w:bookmarkEnd w:id="23"/>
    </w:p>
    <w:p>
      <w:pPr>
        <w:widowControl/>
        <w:numPr>
          <w:ilvl w:val="5"/>
          <w:numId w:val="15"/>
        </w:numPr>
        <w:spacing w:before="240" w:line="360" w:lineRule="auto"/>
        <w:ind w:left="1026" w:leftChars="133" w:hanging="747" w:hangingChars="267"/>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发电机调压方式：数字式调压</w:t>
      </w:r>
    </w:p>
    <w:p>
      <w:pPr>
        <w:widowControl/>
        <w:numPr>
          <w:ilvl w:val="5"/>
          <w:numId w:val="15"/>
        </w:numPr>
        <w:spacing w:before="240" w:line="360" w:lineRule="auto"/>
        <w:ind w:left="1026" w:leftChars="133" w:hanging="747" w:hangingChars="267"/>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发电机极数：4极</w:t>
      </w:r>
    </w:p>
    <w:p>
      <w:pPr>
        <w:widowControl/>
        <w:numPr>
          <w:ilvl w:val="5"/>
          <w:numId w:val="15"/>
        </w:numPr>
        <w:spacing w:before="240" w:line="360" w:lineRule="auto"/>
        <w:ind w:left="1026" w:leftChars="133" w:hanging="747" w:hangingChars="267"/>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励磁方式：无刷永磁（PMG）</w:t>
      </w:r>
    </w:p>
    <w:p>
      <w:pPr>
        <w:widowControl/>
        <w:numPr>
          <w:ilvl w:val="5"/>
          <w:numId w:val="15"/>
        </w:numPr>
        <w:spacing w:before="240" w:line="360" w:lineRule="auto"/>
        <w:ind w:left="1026" w:leftChars="133" w:hanging="747" w:hangingChars="267"/>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绝缘等级：H级 </w:t>
      </w:r>
    </w:p>
    <w:p>
      <w:pPr>
        <w:widowControl/>
        <w:numPr>
          <w:ilvl w:val="5"/>
          <w:numId w:val="15"/>
        </w:numPr>
        <w:spacing w:before="240" w:line="360" w:lineRule="auto"/>
        <w:ind w:left="1026" w:leftChars="133" w:hanging="747" w:hangingChars="267"/>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防护等级：不低于IP23</w:t>
      </w:r>
    </w:p>
    <w:p>
      <w:pPr>
        <w:widowControl/>
        <w:numPr>
          <w:ilvl w:val="5"/>
          <w:numId w:val="15"/>
        </w:numPr>
        <w:spacing w:before="240" w:line="360" w:lineRule="auto"/>
        <w:ind w:left="1026" w:leftChars="133" w:hanging="747" w:hangingChars="267"/>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交流发电机的设计和建造应符合BS4999和BS5000的相关部分，为三相同步交流发电机</w:t>
      </w:r>
    </w:p>
    <w:p>
      <w:pPr>
        <w:widowControl/>
        <w:numPr>
          <w:ilvl w:val="5"/>
          <w:numId w:val="15"/>
        </w:numPr>
        <w:spacing w:before="240" w:line="360" w:lineRule="auto"/>
        <w:ind w:left="1026" w:leftChars="133" w:hanging="747" w:hangingChars="267"/>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交流发电机的特性必须同发动机的转矩特性相匹配</w:t>
      </w:r>
    </w:p>
    <w:p>
      <w:pPr>
        <w:widowControl/>
        <w:numPr>
          <w:ilvl w:val="5"/>
          <w:numId w:val="15"/>
        </w:numPr>
        <w:spacing w:before="240" w:line="360" w:lineRule="auto"/>
        <w:ind w:left="1026" w:leftChars="133" w:hanging="747" w:hangingChars="267"/>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交流发电机必须能够承受超过同步值25％的过速</w:t>
      </w:r>
    </w:p>
    <w:p>
      <w:pPr>
        <w:widowControl/>
        <w:numPr>
          <w:ilvl w:val="5"/>
          <w:numId w:val="15"/>
        </w:numPr>
        <w:spacing w:before="240" w:line="360" w:lineRule="auto"/>
        <w:ind w:left="1026" w:leftChars="133" w:hanging="747" w:hangingChars="267"/>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在额定容量下，交流绕组及磁场绕组连续运转的温升≤105℃</w:t>
      </w:r>
    </w:p>
    <w:p>
      <w:pPr>
        <w:widowControl/>
        <w:numPr>
          <w:ilvl w:val="5"/>
          <w:numId w:val="15"/>
        </w:numPr>
        <w:spacing w:before="240" w:line="360" w:lineRule="auto"/>
        <w:ind w:left="1026" w:leftChars="133" w:hanging="747" w:hangingChars="267"/>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额定频率：50HZ</w:t>
      </w:r>
    </w:p>
    <w:p>
      <w:pPr>
        <w:widowControl/>
        <w:numPr>
          <w:ilvl w:val="5"/>
          <w:numId w:val="15"/>
        </w:numPr>
        <w:spacing w:before="240" w:line="360" w:lineRule="auto"/>
        <w:ind w:left="1026" w:leftChars="133" w:hanging="747" w:hangingChars="267"/>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相数：三相四线制</w:t>
      </w:r>
    </w:p>
    <w:p>
      <w:pPr>
        <w:widowControl/>
        <w:numPr>
          <w:ilvl w:val="5"/>
          <w:numId w:val="15"/>
        </w:numPr>
        <w:spacing w:before="240" w:line="360" w:lineRule="auto"/>
        <w:ind w:left="1026" w:leftChars="133" w:hanging="747" w:hangingChars="267"/>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波形畸变率：≤5％</w:t>
      </w:r>
    </w:p>
    <w:p>
      <w:pPr>
        <w:widowControl/>
        <w:numPr>
          <w:ilvl w:val="5"/>
          <w:numId w:val="15"/>
        </w:numPr>
        <w:spacing w:before="240" w:line="360" w:lineRule="auto"/>
        <w:ind w:left="1026" w:leftChars="133" w:hanging="747" w:hangingChars="267"/>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电话影响因数（TIF）小于50 或电磁影响（THF）小于5％；</w:t>
      </w:r>
    </w:p>
    <w:p>
      <w:pPr>
        <w:widowControl/>
        <w:numPr>
          <w:ilvl w:val="5"/>
          <w:numId w:val="15"/>
        </w:numPr>
        <w:spacing w:before="240" w:line="360" w:lineRule="auto"/>
        <w:ind w:left="1026" w:leftChars="133" w:hanging="747" w:hangingChars="267"/>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额定电压：10.5kV</w:t>
      </w:r>
    </w:p>
    <w:p>
      <w:pPr>
        <w:widowControl/>
        <w:numPr>
          <w:ilvl w:val="5"/>
          <w:numId w:val="15"/>
        </w:numPr>
        <w:spacing w:before="240" w:line="360" w:lineRule="auto"/>
        <w:ind w:left="1026" w:leftChars="133" w:hanging="747" w:hangingChars="267"/>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额定功率因数：0.8（滞后）</w:t>
      </w:r>
    </w:p>
    <w:p>
      <w:pPr>
        <w:widowControl/>
        <w:numPr>
          <w:ilvl w:val="5"/>
          <w:numId w:val="15"/>
        </w:numPr>
        <w:spacing w:before="240" w:line="360" w:lineRule="auto"/>
        <w:ind w:left="1026" w:leftChars="133" w:hanging="747" w:hangingChars="267"/>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稳态电压调整率：≤±0.5%</w:t>
      </w:r>
    </w:p>
    <w:p>
      <w:pPr>
        <w:widowControl/>
        <w:numPr>
          <w:ilvl w:val="5"/>
          <w:numId w:val="15"/>
        </w:numPr>
        <w:spacing w:before="240" w:line="360" w:lineRule="auto"/>
        <w:ind w:left="1026" w:leftChars="133" w:hanging="747" w:hangingChars="267"/>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瞬态电压调整率： -15%～+20%</w:t>
      </w:r>
    </w:p>
    <w:p>
      <w:pPr>
        <w:widowControl/>
        <w:numPr>
          <w:ilvl w:val="5"/>
          <w:numId w:val="15"/>
        </w:numPr>
        <w:spacing w:before="240" w:line="360" w:lineRule="auto"/>
        <w:ind w:left="1026" w:leftChars="133" w:hanging="747" w:hangingChars="267"/>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瞬态电压恢复时间：≤6秒</w:t>
      </w:r>
    </w:p>
    <w:p>
      <w:pPr>
        <w:widowControl/>
        <w:numPr>
          <w:ilvl w:val="5"/>
          <w:numId w:val="15"/>
        </w:numPr>
        <w:spacing w:before="240" w:line="360" w:lineRule="auto"/>
        <w:ind w:left="1026" w:leftChars="133" w:hanging="747" w:hangingChars="267"/>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电压波动率：≤±0.5％</w:t>
      </w:r>
    </w:p>
    <w:p>
      <w:pPr>
        <w:widowControl/>
        <w:numPr>
          <w:ilvl w:val="5"/>
          <w:numId w:val="15"/>
        </w:numPr>
        <w:spacing w:before="240" w:line="360" w:lineRule="auto"/>
        <w:ind w:left="1026" w:leftChars="133" w:hanging="747" w:hangingChars="267"/>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线电压波形正弦性畸变率：≤5％</w:t>
      </w:r>
    </w:p>
    <w:p>
      <w:pPr>
        <w:widowControl/>
        <w:numPr>
          <w:ilvl w:val="5"/>
          <w:numId w:val="15"/>
        </w:numPr>
        <w:spacing w:before="240" w:line="360" w:lineRule="auto"/>
        <w:ind w:left="1026" w:leftChars="133" w:hanging="747" w:hangingChars="267"/>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空载电压稳定范围：95%至105%</w:t>
      </w:r>
    </w:p>
    <w:p>
      <w:pPr>
        <w:widowControl/>
        <w:numPr>
          <w:ilvl w:val="5"/>
          <w:numId w:val="15"/>
        </w:numPr>
        <w:spacing w:before="240" w:line="360" w:lineRule="auto"/>
        <w:ind w:left="1026" w:leftChars="133" w:hanging="747" w:hangingChars="267"/>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三相不对称负载下的线电压偏差：≤5%</w:t>
      </w:r>
    </w:p>
    <w:p>
      <w:pPr>
        <w:widowControl/>
        <w:numPr>
          <w:ilvl w:val="5"/>
          <w:numId w:val="15"/>
        </w:numPr>
        <w:spacing w:before="240" w:line="360" w:lineRule="auto"/>
        <w:ind w:left="1026" w:leftChars="133" w:hanging="747" w:hangingChars="267"/>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发电机可以耐受300%的额定满载电流的三相短路电流10秒钟。</w:t>
      </w:r>
    </w:p>
    <w:p>
      <w:pPr>
        <w:widowControl/>
        <w:numPr>
          <w:ilvl w:val="5"/>
          <w:numId w:val="15"/>
        </w:numPr>
        <w:spacing w:before="240" w:line="360" w:lineRule="auto"/>
        <w:ind w:left="1026" w:leftChars="133" w:hanging="747" w:hangingChars="267"/>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发电机配置空间加热器，并安装在发电机内，加热器温度可调，自动切断和接通。</w:t>
      </w:r>
    </w:p>
    <w:p>
      <w:pPr>
        <w:pStyle w:val="2"/>
        <w:numPr>
          <w:ilvl w:val="1"/>
          <w:numId w:val="9"/>
        </w:numPr>
        <w:spacing w:line="360" w:lineRule="auto"/>
        <w:ind w:left="1260" w:hanging="992"/>
        <w:rPr>
          <w:rFonts w:hint="eastAsia" w:ascii="仿宋_GB2312" w:hAnsi="仿宋_GB2312" w:eastAsia="仿宋_GB2312" w:cs="仿宋_GB2312"/>
          <w:b/>
          <w:szCs w:val="28"/>
        </w:rPr>
      </w:pPr>
      <w:bookmarkStart w:id="24" w:name="_Toc15030898"/>
      <w:r>
        <w:rPr>
          <w:rFonts w:hint="eastAsia" w:ascii="仿宋_GB2312" w:hAnsi="仿宋_GB2312" w:eastAsia="仿宋_GB2312" w:cs="仿宋_GB2312"/>
          <w:b/>
          <w:szCs w:val="28"/>
        </w:rPr>
        <w:t>并联系统要求</w:t>
      </w:r>
      <w:bookmarkEnd w:id="24"/>
    </w:p>
    <w:p>
      <w:pPr>
        <w:pStyle w:val="2"/>
        <w:numPr>
          <w:ilvl w:val="2"/>
          <w:numId w:val="9"/>
        </w:numPr>
        <w:spacing w:line="360" w:lineRule="auto"/>
        <w:ind w:left="1680" w:hanging="1218"/>
        <w:rPr>
          <w:rFonts w:hint="eastAsia" w:ascii="仿宋_GB2312" w:hAnsi="仿宋_GB2312" w:eastAsia="仿宋_GB2312" w:cs="仿宋_GB2312"/>
          <w:b/>
          <w:szCs w:val="28"/>
        </w:rPr>
      </w:pPr>
      <w:bookmarkStart w:id="25" w:name="_Toc15030899"/>
      <w:r>
        <w:rPr>
          <w:rFonts w:hint="eastAsia" w:ascii="仿宋_GB2312" w:hAnsi="仿宋_GB2312" w:eastAsia="仿宋_GB2312" w:cs="仿宋_GB2312"/>
          <w:b/>
          <w:szCs w:val="28"/>
        </w:rPr>
        <w:t>并机控制系统</w:t>
      </w:r>
      <w:bookmarkEnd w:id="25"/>
    </w:p>
    <w:p>
      <w:pPr>
        <w:widowControl/>
        <w:numPr>
          <w:ilvl w:val="3"/>
          <w:numId w:val="9"/>
        </w:numPr>
        <w:spacing w:line="360" w:lineRule="auto"/>
        <w:ind w:left="1204" w:hanging="60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系统要求</w:t>
      </w:r>
    </w:p>
    <w:p>
      <w:pPr>
        <w:widowControl/>
        <w:numPr>
          <w:ilvl w:val="5"/>
          <w:numId w:val="16"/>
        </w:numPr>
        <w:spacing w:before="240" w:line="360" w:lineRule="auto"/>
        <w:ind w:left="814" w:hanging="247"/>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机组可实现全自动控制，也可实现手动操作，并且手动操作可随时干预自动控制的全过程。机组控制系统应具有自动启动、手动启动和停机(包括紧急停机)功能。</w:t>
      </w:r>
    </w:p>
    <w:p>
      <w:pPr>
        <w:widowControl/>
        <w:numPr>
          <w:ilvl w:val="5"/>
          <w:numId w:val="16"/>
        </w:numPr>
        <w:spacing w:before="240" w:line="360" w:lineRule="auto"/>
        <w:ind w:left="814" w:hanging="247"/>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市电供电给母排，保证中心内各设备的正常运行。全部发电机组处于自动冷备用状态。</w:t>
      </w:r>
    </w:p>
    <w:p>
      <w:pPr>
        <w:widowControl/>
        <w:numPr>
          <w:ilvl w:val="5"/>
          <w:numId w:val="16"/>
        </w:numPr>
        <w:spacing w:before="240" w:line="360" w:lineRule="auto"/>
        <w:ind w:left="814" w:hanging="247"/>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自动运行</w:t>
      </w:r>
    </w:p>
    <w:p>
      <w:pPr>
        <w:spacing w:before="240" w:line="360" w:lineRule="auto"/>
        <w:ind w:left="840" w:leftChars="400" w:firstLine="41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要求油机供货商从两路10kV市电侧（进线柜或PT柜）取得到两路市电均停电或故障的信号。当柴油发电机和机组并机控制系统处于自动模式时，当2路信号均表示停电，延时0～300秒（按秒可调）发出启动信号，启动柴油发电机组，机组在常温下经三次启动应能成功，两次启动之间的间歇时间为20秒。启动成功率应大于99％。机组启动成功后应能自动加载。若自启动连续三次失败，则发出报警信号，并闭锁自启动回路。</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在收到柴发启动信号后，所有发电机立即同时启动，在并机控制系统的控制下自动并机，并控制10kV并机控制柜进线断路器，将成功并机的柴发投入至10kV并机配电系统。同时，柴发系统配置并机输出控制系统，根据控制逻辑，当系统成功并机台数≥设定的成功并机台数时，自动投入柴发并机输出断路器，将柴发电源投入到10kV主配电系统。可自动进行有功无功分配，可根据负载自动均匀分配给予运行机组。</w:t>
      </w:r>
    </w:p>
    <w:p>
      <w:pPr>
        <w:spacing w:before="240" w:line="360" w:lineRule="auto"/>
        <w:ind w:left="840" w:leftChars="400" w:firstLine="41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当市电电源恢复后，柴发并机系统在启动信号消失后，柴发机组不自动停机，需要手动停止发电机组。并控制并机系统的输入、输出断路器自动合闸、手动分闸，即系统自投手复。</w:t>
      </w:r>
    </w:p>
    <w:p>
      <w:pPr>
        <w:widowControl/>
        <w:numPr>
          <w:ilvl w:val="5"/>
          <w:numId w:val="16"/>
        </w:numPr>
        <w:spacing w:before="240" w:line="360" w:lineRule="auto"/>
        <w:ind w:left="814" w:hanging="247"/>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手动运行</w:t>
      </w:r>
    </w:p>
    <w:p>
      <w:pPr>
        <w:widowControl/>
        <w:numPr>
          <w:ilvl w:val="6"/>
          <w:numId w:val="16"/>
        </w:numPr>
        <w:spacing w:before="312" w:after="312" w:line="360" w:lineRule="auto"/>
        <w:ind w:left="1200" w:right="200" w:hanging="4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并联控制柜主控柜可以实现整个发电机系统功能的手、自动切换</w:t>
      </w:r>
    </w:p>
    <w:p>
      <w:pPr>
        <w:widowControl/>
        <w:numPr>
          <w:ilvl w:val="6"/>
          <w:numId w:val="16"/>
        </w:numPr>
        <w:spacing w:before="312" w:after="312" w:line="360" w:lineRule="auto"/>
        <w:ind w:left="1200" w:right="200" w:hanging="4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分控柜可以在手动启动停止发电机及手动并联；</w:t>
      </w:r>
    </w:p>
    <w:p>
      <w:pPr>
        <w:widowControl/>
        <w:numPr>
          <w:ilvl w:val="5"/>
          <w:numId w:val="16"/>
        </w:numPr>
        <w:spacing w:before="240" w:line="360" w:lineRule="auto"/>
        <w:ind w:left="814" w:hanging="247"/>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自动保护</w:t>
      </w:r>
    </w:p>
    <w:p>
      <w:pPr>
        <w:spacing w:before="312" w:line="360" w:lineRule="auto"/>
        <w:ind w:left="567" w:firstLine="41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动保护：机组出现发电机超压或欠压、机油压力低、超速或低速、发电机温度高、过载、负载短路、水温高、逆功率、过电流等故障时应自动保护，且各保护值可设定。机组保护顺序为告警为先，停机保护为后。</w:t>
      </w:r>
    </w:p>
    <w:p>
      <w:pPr>
        <w:spacing w:before="312" w:line="360" w:lineRule="auto"/>
        <w:ind w:left="567" w:firstLine="41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机组出现下述故障时自动切断油路并给出声光告警：发电机电压异常（过高、过低）；机油压力低；超速；缸温高；皮带断裂；三次启动失败。</w:t>
      </w:r>
    </w:p>
    <w:p>
      <w:pPr>
        <w:spacing w:before="312" w:line="360" w:lineRule="auto"/>
        <w:ind w:left="567" w:firstLine="41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出现过载、短路情况时，运行中的发电机组保护开关应自动断开。</w:t>
      </w:r>
    </w:p>
    <w:p>
      <w:pPr>
        <w:spacing w:before="312" w:line="360" w:lineRule="auto"/>
        <w:ind w:left="567" w:firstLine="41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请供货商提供在环境温度40℃、机组满负荷运行时机组不停机的水温极限值，以及此工况下连续运行1、2、4、8、12小时后水温值。</w:t>
      </w:r>
    </w:p>
    <w:p>
      <w:pPr>
        <w:spacing w:before="312" w:line="360" w:lineRule="auto"/>
        <w:ind w:left="567" w:firstLine="41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启动电池充电器故障时，机组控制单元应能发出告警信号。</w:t>
      </w:r>
    </w:p>
    <w:p>
      <w:pPr>
        <w:widowControl/>
        <w:numPr>
          <w:ilvl w:val="5"/>
          <w:numId w:val="16"/>
        </w:numPr>
        <w:spacing w:before="240" w:line="360" w:lineRule="auto"/>
        <w:ind w:left="814" w:hanging="247"/>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负载分配</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并联系统应配备数字式自动负载分配控制器，将负载在各机组间均匀分担。并联机组之间的有功和无功功率分配不平衡度不应大于5%。</w:t>
      </w:r>
    </w:p>
    <w:p>
      <w:pPr>
        <w:widowControl/>
        <w:numPr>
          <w:ilvl w:val="5"/>
          <w:numId w:val="16"/>
        </w:numPr>
        <w:spacing w:before="240" w:line="360" w:lineRule="auto"/>
        <w:ind w:left="814" w:hanging="247"/>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当1台或几台系统宕机后，不影响其它发电机组的并机。</w:t>
      </w:r>
    </w:p>
    <w:p>
      <w:pPr>
        <w:widowControl/>
        <w:numPr>
          <w:ilvl w:val="3"/>
          <w:numId w:val="9"/>
        </w:numPr>
        <w:spacing w:line="360" w:lineRule="auto"/>
        <w:ind w:left="1204" w:hanging="60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并机控制系统的组成</w:t>
      </w:r>
    </w:p>
    <w:p>
      <w:pPr>
        <w:spacing w:before="312" w:line="360" w:lineRule="auto"/>
        <w:ind w:left="56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并机控制系统由2套（互为主备）集中式“并联主控制柜”和按机组数量带有“并机控制模块”的并机分控模块组成，机组并车控制模块要求原装进口数字化模块。</w:t>
      </w:r>
    </w:p>
    <w:p>
      <w:pPr>
        <w:widowControl/>
        <w:numPr>
          <w:ilvl w:val="3"/>
          <w:numId w:val="9"/>
        </w:numPr>
        <w:spacing w:line="360" w:lineRule="auto"/>
        <w:ind w:left="1204" w:hanging="604"/>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并机分控柜（并机分控功能可集成在机组自身控制模块中）</w:t>
      </w:r>
    </w:p>
    <w:p>
      <w:pPr>
        <w:spacing w:before="312" w:line="360" w:lineRule="auto"/>
        <w:ind w:left="56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台机组分控柜都具备集成调速和调压功能，可以综合发动机调速和发电机调压功能，即有并联检测、并联合闸、负载分配等功能。并有足够的控制功能和独立的操作能力，即使其它机组发生故障，系统仍然可以自主安全运行。避免个别机组的故障造成整个系统控制失灵的缺陷。</w:t>
      </w:r>
    </w:p>
    <w:p>
      <w:pPr>
        <w:spacing w:before="312" w:line="360" w:lineRule="auto"/>
        <w:ind w:left="56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台机组控制屏具有自动、手动同步和负载分配功能。以便在主控制系统出现问题时，每台机组可以分别与母排实现手动并联。机组通过手动并联后，所有在线并联机组可按比例进行负载分配。在机组正常测试周期带测试负载（低压模拟负载）测试时，手动控制试验负载（高压电阻箱）断路器的闭合和断开，不影响整个电力系统的正常运行。</w:t>
      </w:r>
    </w:p>
    <w:p>
      <w:pPr>
        <w:spacing w:before="312" w:line="360" w:lineRule="auto"/>
        <w:ind w:left="56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控制柜有最新版本的控制面板。控制屏显示菜单必须为中/英文液晶显示状态和参数。并机控制屏还具有以下功能：</w:t>
      </w:r>
    </w:p>
    <w:p>
      <w:pPr>
        <w:widowControl/>
        <w:numPr>
          <w:ilvl w:val="5"/>
          <w:numId w:val="17"/>
        </w:numPr>
        <w:spacing w:before="240" w:line="360" w:lineRule="auto"/>
        <w:ind w:left="844" w:leftChars="300" w:hanging="21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全自动负载分配（具备提升网络和兼容不同调速功能）。</w:t>
      </w:r>
    </w:p>
    <w:p>
      <w:pPr>
        <w:widowControl/>
        <w:numPr>
          <w:ilvl w:val="5"/>
          <w:numId w:val="17"/>
        </w:numPr>
        <w:spacing w:before="240" w:line="360" w:lineRule="auto"/>
        <w:ind w:left="844" w:leftChars="300" w:hanging="21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全自动同步（具备提升网络和兼容不同调速功能）。</w:t>
      </w:r>
    </w:p>
    <w:p>
      <w:pPr>
        <w:widowControl/>
        <w:numPr>
          <w:ilvl w:val="5"/>
          <w:numId w:val="17"/>
        </w:numPr>
        <w:spacing w:before="240" w:line="360" w:lineRule="auto"/>
        <w:ind w:left="844" w:leftChars="300" w:hanging="21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发电机参数显示：</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功率小时</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频率 (范围45Hz~55Hz)</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功率因数</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运行时间 (范围：9999小时)</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发电机电压（同屏显示三相电压）</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发电机电流（同屏显示三相电流）</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发电机有功功率</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发电机无功功率</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发动机参数显示：</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直流电压，用以监视电池电压</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直流电流，用以监视市电浮充充电电流</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不可复归的计数器以记录起动次数</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不可复归的计数器以记录起动失败次数</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不可复归的计数器以记录累计运行时间</w:t>
      </w:r>
      <w:r>
        <w:rPr>
          <w:rFonts w:hint="eastAsia" w:ascii="仿宋_GB2312" w:hAnsi="仿宋_GB2312" w:eastAsia="仿宋_GB2312" w:cs="仿宋_GB2312"/>
          <w:sz w:val="28"/>
          <w:szCs w:val="28"/>
        </w:rPr>
        <w:br w:type="textWrapping"/>
      </w:r>
    </w:p>
    <w:p>
      <w:pPr>
        <w:widowControl/>
        <w:numPr>
          <w:ilvl w:val="3"/>
          <w:numId w:val="9"/>
        </w:numPr>
        <w:spacing w:line="360" w:lineRule="auto"/>
        <w:ind w:left="1204" w:hanging="604"/>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主控柜</w:t>
      </w:r>
    </w:p>
    <w:p>
      <w:pPr>
        <w:spacing w:before="312" w:line="360" w:lineRule="auto"/>
        <w:ind w:left="630" w:left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并联主控制柜是以微处理器为中心的集成控制系统。</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主控柜有最新版本的控制面板主控制柜柜体为落地直立式，采用PLC及触摸屏对发电机系统那个逻辑控制和外部接口通信。过一个高分辨率可编程图形界面板，操作者可以完成对现场整个电力系统进行监测和控制。PLC可以控制发电机系统内各开关柜分合闸及故障监控，在触摸屏中可清晰显示及操作各断路器。通过分层菜单为系统实现各种控制功能，并且为操作者以中文显示信息，使操作者很容易理解，并且可以迅速了解系统的功能和操作方法。主控柜可以显示主系统和发电机组状态，其中包括：</w:t>
      </w:r>
    </w:p>
    <w:p>
      <w:pPr>
        <w:widowControl/>
        <w:numPr>
          <w:ilvl w:val="5"/>
          <w:numId w:val="18"/>
        </w:numPr>
        <w:spacing w:before="240" w:line="360" w:lineRule="auto"/>
        <w:ind w:hanging="53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主电路系统单线图</w:t>
      </w:r>
    </w:p>
    <w:p>
      <w:pPr>
        <w:widowControl/>
        <w:numPr>
          <w:ilvl w:val="5"/>
          <w:numId w:val="18"/>
        </w:numPr>
        <w:spacing w:before="240" w:line="360" w:lineRule="auto"/>
        <w:ind w:hanging="53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发电机系统状态及机组参数显示</w:t>
      </w:r>
    </w:p>
    <w:p>
      <w:pPr>
        <w:widowControl/>
        <w:numPr>
          <w:ilvl w:val="5"/>
          <w:numId w:val="18"/>
        </w:numPr>
        <w:spacing w:before="240" w:line="360" w:lineRule="auto"/>
        <w:ind w:hanging="53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自动增减在线运转机组，负载需求显示（根据负载情况判断在线发电机组的数量）</w:t>
      </w:r>
    </w:p>
    <w:p>
      <w:pPr>
        <w:widowControl/>
        <w:numPr>
          <w:ilvl w:val="5"/>
          <w:numId w:val="18"/>
        </w:numPr>
        <w:spacing w:before="240" w:line="360" w:lineRule="auto"/>
        <w:ind w:hanging="53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报警汇总</w:t>
      </w:r>
    </w:p>
    <w:p>
      <w:pPr>
        <w:widowControl/>
        <w:numPr>
          <w:ilvl w:val="5"/>
          <w:numId w:val="18"/>
        </w:numPr>
        <w:spacing w:before="240" w:line="360" w:lineRule="auto"/>
        <w:ind w:hanging="53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母排交流参数总汇</w:t>
      </w:r>
    </w:p>
    <w:p>
      <w:pPr>
        <w:widowControl/>
        <w:numPr>
          <w:ilvl w:val="5"/>
          <w:numId w:val="18"/>
        </w:numPr>
        <w:spacing w:before="240" w:line="360" w:lineRule="auto"/>
        <w:ind w:hanging="53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信息/时钟设定</w:t>
      </w:r>
    </w:p>
    <w:p>
      <w:pPr>
        <w:widowControl/>
        <w:numPr>
          <w:ilvl w:val="5"/>
          <w:numId w:val="18"/>
        </w:numPr>
        <w:spacing w:before="240" w:line="360" w:lineRule="auto"/>
        <w:ind w:hanging="53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帮助</w:t>
      </w:r>
    </w:p>
    <w:p>
      <w:pPr>
        <w:widowControl/>
        <w:numPr>
          <w:ilvl w:val="5"/>
          <w:numId w:val="18"/>
        </w:numPr>
        <w:spacing w:before="240" w:line="360" w:lineRule="auto"/>
        <w:ind w:hanging="53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满足动力环境监控系统接入需求</w:t>
      </w:r>
    </w:p>
    <w:p>
      <w:pPr>
        <w:pStyle w:val="2"/>
        <w:numPr>
          <w:ilvl w:val="1"/>
          <w:numId w:val="9"/>
        </w:numPr>
        <w:spacing w:line="360" w:lineRule="auto"/>
        <w:ind w:left="1260" w:hanging="992"/>
        <w:rPr>
          <w:rFonts w:hint="eastAsia" w:ascii="仿宋_GB2312" w:hAnsi="仿宋_GB2312" w:eastAsia="仿宋_GB2312" w:cs="仿宋_GB2312"/>
          <w:b/>
          <w:szCs w:val="28"/>
        </w:rPr>
      </w:pPr>
      <w:bookmarkStart w:id="26" w:name="_Toc15030900"/>
      <w:r>
        <w:rPr>
          <w:rFonts w:hint="eastAsia" w:ascii="仿宋_GB2312" w:hAnsi="仿宋_GB2312" w:eastAsia="仿宋_GB2312" w:cs="仿宋_GB2312"/>
          <w:b/>
          <w:szCs w:val="28"/>
        </w:rPr>
        <w:t>10kV高压机组接地电阻柜主要参数要求</w:t>
      </w:r>
      <w:bookmarkEnd w:id="26"/>
    </w:p>
    <w:p>
      <w:pPr>
        <w:widowControl/>
        <w:numPr>
          <w:ilvl w:val="0"/>
          <w:numId w:val="19"/>
        </w:numPr>
        <w:spacing w:before="312" w:line="360" w:lineRule="auto"/>
        <w:ind w:left="567"/>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中性点接地电阻柜由高压真空接触器、电阻和继电装置组成。</w:t>
      </w:r>
    </w:p>
    <w:p>
      <w:pPr>
        <w:widowControl/>
        <w:numPr>
          <w:ilvl w:val="0"/>
          <w:numId w:val="19"/>
        </w:numPr>
        <w:spacing w:before="312" w:line="360" w:lineRule="auto"/>
        <w:ind w:left="567"/>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系统为小电阻接地系统，每台发电机组配套一个高压接触器，一个接地电阻。通过控制系统控制高压接触器，将首台合闸至母排之发电机组对应接地电阻柜内接触器合闸，其余接地电阻柜内接触器不合闸，达到一个并机系统只允许一台机组接地的目的。同时在接地电阻器配置电流互感器测量接地电流,并采用接地故障继电器，设定接地电流超过设计值时发出接地故障信号.当任意一台接地电阻柜出现故障时，系统能够自动按照设定及时转移至另一台电阻柜。确保系统接地可靠性。</w:t>
      </w:r>
    </w:p>
    <w:p>
      <w:pPr>
        <w:pStyle w:val="2"/>
        <w:numPr>
          <w:ilvl w:val="1"/>
          <w:numId w:val="9"/>
        </w:numPr>
        <w:spacing w:line="360" w:lineRule="auto"/>
        <w:ind w:left="1260" w:hanging="992"/>
        <w:rPr>
          <w:rFonts w:hint="eastAsia" w:ascii="仿宋_GB2312" w:hAnsi="仿宋_GB2312" w:eastAsia="仿宋_GB2312" w:cs="仿宋_GB2312"/>
          <w:b/>
          <w:szCs w:val="28"/>
        </w:rPr>
      </w:pPr>
      <w:bookmarkStart w:id="27" w:name="_Toc15030901"/>
      <w:r>
        <w:rPr>
          <w:rFonts w:hint="eastAsia" w:ascii="仿宋_GB2312" w:hAnsi="仿宋_GB2312" w:eastAsia="仿宋_GB2312" w:cs="仿宋_GB2312"/>
          <w:b/>
          <w:szCs w:val="28"/>
        </w:rPr>
        <w:t>供油系统主要参数要求</w:t>
      </w:r>
      <w:bookmarkEnd w:id="27"/>
    </w:p>
    <w:p>
      <w:pPr>
        <w:spacing w:before="312" w:line="360" w:lineRule="auto"/>
        <w:ind w:left="56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发电机厂商在投标文件中需要对整个燃料储存和输送系统之供应和系统详加说明并出具设计方案，按本节之说明提供设计完整的燃料储存和分配系统。其主要设备应满足下列要求：</w:t>
      </w:r>
    </w:p>
    <w:p>
      <w:pPr>
        <w:pStyle w:val="2"/>
        <w:numPr>
          <w:ilvl w:val="2"/>
          <w:numId w:val="9"/>
        </w:numPr>
        <w:spacing w:line="360" w:lineRule="auto"/>
        <w:ind w:left="1680" w:hanging="1218"/>
        <w:rPr>
          <w:rFonts w:hint="eastAsia" w:ascii="仿宋_GB2312" w:hAnsi="仿宋_GB2312" w:eastAsia="仿宋_GB2312" w:cs="仿宋_GB2312"/>
          <w:b/>
          <w:szCs w:val="28"/>
        </w:rPr>
      </w:pPr>
      <w:bookmarkStart w:id="28" w:name="_Toc15030902"/>
      <w:r>
        <w:rPr>
          <w:rFonts w:hint="eastAsia" w:ascii="仿宋_GB2312" w:hAnsi="仿宋_GB2312" w:eastAsia="仿宋_GB2312" w:cs="仿宋_GB2312"/>
          <w:b/>
          <w:szCs w:val="28"/>
        </w:rPr>
        <w:t>日用油箱</w:t>
      </w:r>
      <w:bookmarkEnd w:id="28"/>
    </w:p>
    <w:p>
      <w:pPr>
        <w:spacing w:before="312" w:line="360" w:lineRule="auto"/>
        <w:ind w:left="56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每台机组设置1个大于等于2m</w:t>
      </w:r>
      <w:r>
        <w:rPr>
          <w:rFonts w:hint="eastAsia" w:ascii="仿宋_GB2312" w:hAnsi="仿宋_GB2312" w:eastAsia="仿宋_GB2312" w:cs="仿宋_GB2312"/>
          <w:sz w:val="28"/>
          <w:szCs w:val="28"/>
          <w:vertAlign w:val="superscript"/>
        </w:rPr>
        <w:t>3</w:t>
      </w:r>
      <w:r>
        <w:rPr>
          <w:rFonts w:hint="eastAsia" w:ascii="仿宋_GB2312" w:hAnsi="仿宋_GB2312" w:eastAsia="仿宋_GB2312" w:cs="仿宋_GB2312"/>
          <w:sz w:val="28"/>
          <w:szCs w:val="28"/>
        </w:rPr>
        <w:t>日用油箱。油箱放置在集装箱内，需采用独立空间安装。</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日用油箱须配备人孔盖板，进油管、回油管、排油管、溢流管，液位计等；</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现场目视液位计须为磁翻柱液位计，具有相当的刻度清楚地标以存油高度；</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日用油箱液位计需要配置采用工业等级的磁翻柱液位计，提供高低液位信号至控制柜；油箱上部需配备电动阀门，供油系统可自动控制阀门开关。</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请提供日用油箱厂家资质及检测报告。</w:t>
      </w:r>
    </w:p>
    <w:p>
      <w:pPr>
        <w:pStyle w:val="2"/>
        <w:numPr>
          <w:ilvl w:val="2"/>
          <w:numId w:val="9"/>
        </w:numPr>
        <w:spacing w:line="360" w:lineRule="auto"/>
        <w:ind w:left="1680" w:hanging="1218"/>
        <w:rPr>
          <w:rFonts w:hint="eastAsia" w:ascii="仿宋_GB2312" w:hAnsi="仿宋_GB2312" w:eastAsia="仿宋_GB2312" w:cs="仿宋_GB2312"/>
          <w:b/>
          <w:szCs w:val="28"/>
        </w:rPr>
      </w:pPr>
      <w:bookmarkStart w:id="29" w:name="_Toc15030905"/>
      <w:r>
        <w:rPr>
          <w:rFonts w:hint="eastAsia" w:ascii="仿宋_GB2312" w:hAnsi="仿宋_GB2312" w:eastAsia="仿宋_GB2312" w:cs="仿宋_GB2312"/>
          <w:b/>
          <w:szCs w:val="28"/>
        </w:rPr>
        <w:t>启动电池</w:t>
      </w:r>
      <w:bookmarkEnd w:id="29"/>
    </w:p>
    <w:p>
      <w:pPr>
        <w:shd w:val="clear" w:color="000000" w:fill="FFFFFF"/>
        <w:tabs>
          <w:tab w:val="left" w:pos="916"/>
          <w:tab w:val="left" w:pos="1832"/>
          <w:tab w:val="left" w:pos="2748"/>
          <w:tab w:val="left" w:pos="3664"/>
          <w:tab w:val="left" w:pos="4580"/>
          <w:tab w:val="left" w:pos="5496"/>
          <w:tab w:val="left" w:pos="6412"/>
          <w:tab w:val="left" w:pos="7328"/>
          <w:tab w:val="left" w:pos="8244"/>
          <w:tab w:val="left" w:pos="9160"/>
        </w:tabs>
        <w:spacing w:line="360" w:lineRule="auto"/>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每台机组配置一组机组原厂配套的免维护铅酸电池。电池选用开放式电池，电池具有足够的安培一小时容量和放电率。电池组安装在邻近发动机底座处。启动电池和充电器须在12 秒内提供启动，如启动失败须能在失败后5 秒，再提供启动，须能提供连续六次的启动，而不会达到按制造厂商规定损坏电池的程度。蓄电池放置在集装箱内，需要合理布局且安装完成启动电池的市电浮充。</w:t>
      </w:r>
    </w:p>
    <w:p>
      <w:pPr>
        <w:pStyle w:val="2"/>
        <w:numPr>
          <w:ilvl w:val="0"/>
          <w:numId w:val="6"/>
        </w:numPr>
        <w:tabs>
          <w:tab w:val="left" w:pos="360"/>
        </w:tabs>
        <w:spacing w:line="360" w:lineRule="auto"/>
        <w:ind w:left="360" w:hanging="360"/>
        <w:rPr>
          <w:rFonts w:hint="eastAsia" w:ascii="仿宋_GB2312" w:hAnsi="仿宋_GB2312" w:eastAsia="仿宋_GB2312" w:cs="仿宋_GB2312"/>
          <w:szCs w:val="28"/>
        </w:rPr>
      </w:pPr>
      <w:bookmarkStart w:id="30" w:name="_Toc15030906"/>
      <w:r>
        <w:rPr>
          <w:rFonts w:hint="eastAsia" w:ascii="仿宋_GB2312" w:hAnsi="仿宋_GB2312" w:eastAsia="仿宋_GB2312" w:cs="仿宋_GB2312"/>
          <w:b/>
          <w:szCs w:val="28"/>
        </w:rPr>
        <w:t>设备保修及其他要求</w:t>
      </w:r>
      <w:bookmarkEnd w:id="30"/>
      <w:r>
        <w:rPr>
          <w:rFonts w:hint="eastAsia" w:ascii="仿宋_GB2312" w:hAnsi="仿宋_GB2312" w:eastAsia="仿宋_GB2312" w:cs="仿宋_GB2312"/>
          <w:szCs w:val="28"/>
        </w:rPr>
        <w:t xml:space="preserve"> </w:t>
      </w:r>
    </w:p>
    <w:p>
      <w:pPr>
        <w:pStyle w:val="52"/>
        <w:numPr>
          <w:ilvl w:val="0"/>
          <w:numId w:val="9"/>
        </w:numPr>
        <w:spacing w:line="360" w:lineRule="auto"/>
        <w:jc w:val="left"/>
        <w:outlineLvl w:val="0"/>
        <w:rPr>
          <w:rFonts w:hint="eastAsia" w:ascii="仿宋_GB2312" w:hAnsi="仿宋_GB2312" w:eastAsia="仿宋_GB2312" w:cs="仿宋_GB2312"/>
          <w:vanish/>
          <w:sz w:val="28"/>
          <w:szCs w:val="28"/>
        </w:rPr>
      </w:pPr>
      <w:bookmarkStart w:id="31" w:name="_Toc15030498"/>
      <w:bookmarkEnd w:id="31"/>
      <w:bookmarkStart w:id="32" w:name="_Toc11676216"/>
      <w:bookmarkEnd w:id="32"/>
      <w:bookmarkStart w:id="33" w:name="_Toc13845"/>
      <w:bookmarkEnd w:id="33"/>
      <w:bookmarkStart w:id="34" w:name="_Toc15030907"/>
      <w:bookmarkEnd w:id="34"/>
    </w:p>
    <w:p>
      <w:pPr>
        <w:pStyle w:val="2"/>
        <w:numPr>
          <w:ilvl w:val="1"/>
          <w:numId w:val="9"/>
        </w:numPr>
        <w:ind w:left="0" w:firstLine="0"/>
        <w:rPr>
          <w:rFonts w:hint="eastAsia" w:ascii="仿宋_GB2312" w:hAnsi="仿宋_GB2312" w:eastAsia="仿宋_GB2312" w:cs="仿宋_GB2312"/>
          <w:b/>
          <w:szCs w:val="28"/>
        </w:rPr>
      </w:pPr>
      <w:bookmarkStart w:id="35" w:name="_Toc15030908"/>
      <w:r>
        <w:rPr>
          <w:rFonts w:hint="eastAsia" w:ascii="仿宋_GB2312" w:hAnsi="仿宋_GB2312" w:eastAsia="仿宋_GB2312" w:cs="仿宋_GB2312"/>
          <w:b/>
          <w:szCs w:val="28"/>
        </w:rPr>
        <w:t>设备保修服务：</w:t>
      </w:r>
      <w:bookmarkEnd w:id="35"/>
    </w:p>
    <w:p>
      <w:pPr>
        <w:widowControl/>
        <w:numPr>
          <w:ilvl w:val="1"/>
          <w:numId w:val="20"/>
        </w:numPr>
        <w:spacing w:after="156"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设备供应商所提供设备的保修期为至少36个月，保修起始时间为项目通过买方测试验收后。</w:t>
      </w:r>
    </w:p>
    <w:p>
      <w:pPr>
        <w:widowControl/>
        <w:numPr>
          <w:ilvl w:val="1"/>
          <w:numId w:val="20"/>
        </w:numPr>
        <w:spacing w:after="156"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设备保修服务须为设备制造商原厂提供</w:t>
      </w:r>
    </w:p>
    <w:p>
      <w:pPr>
        <w:widowControl/>
        <w:numPr>
          <w:ilvl w:val="1"/>
          <w:numId w:val="20"/>
        </w:numPr>
        <w:spacing w:after="156" w:line="360" w:lineRule="auto"/>
        <w:jc w:val="left"/>
        <w:rPr>
          <w:rFonts w:hint="eastAsia" w:ascii="仿宋_GB2312" w:hAnsi="仿宋_GB2312" w:eastAsia="仿宋_GB2312" w:cs="仿宋_GB2312"/>
          <w:sz w:val="28"/>
          <w:szCs w:val="28"/>
        </w:rPr>
      </w:pPr>
      <w:bookmarkStart w:id="36" w:name="OLE_LINK3"/>
      <w:r>
        <w:rPr>
          <w:rFonts w:hint="eastAsia" w:ascii="仿宋_GB2312" w:hAnsi="仿宋_GB2312" w:eastAsia="仿宋_GB2312" w:cs="仿宋_GB2312"/>
          <w:sz w:val="28"/>
          <w:szCs w:val="28"/>
        </w:rPr>
        <w:t>设备制造商及投标商必须在供货区域设有售后服务机构且该服务机构设立时间不少于3年。并具有相应的售后产品服务与技术支持的能力，售后服务机构可以为乙方的子公司、分公司或乙方设立的服务机构等，提供相关证明文件（包含但不限于营业执照，房屋租赁合同等）</w:t>
      </w:r>
      <w:bookmarkEnd w:id="36"/>
    </w:p>
    <w:p>
      <w:pPr>
        <w:pStyle w:val="2"/>
        <w:numPr>
          <w:ilvl w:val="1"/>
          <w:numId w:val="9"/>
        </w:numPr>
        <w:spacing w:line="360" w:lineRule="auto"/>
        <w:ind w:left="1260" w:hanging="420"/>
        <w:rPr>
          <w:rFonts w:hint="eastAsia" w:ascii="仿宋_GB2312" w:hAnsi="仿宋_GB2312" w:eastAsia="仿宋_GB2312" w:cs="仿宋_GB2312"/>
          <w:b/>
          <w:szCs w:val="28"/>
        </w:rPr>
      </w:pPr>
      <w:bookmarkStart w:id="37" w:name="_Toc15030909"/>
      <w:r>
        <w:rPr>
          <w:rFonts w:hint="eastAsia" w:ascii="仿宋_GB2312" w:hAnsi="仿宋_GB2312" w:eastAsia="仿宋_GB2312" w:cs="仿宋_GB2312"/>
          <w:b/>
          <w:szCs w:val="28"/>
        </w:rPr>
        <w:t>设备保修服务内容：</w:t>
      </w:r>
      <w:bookmarkEnd w:id="37"/>
    </w:p>
    <w:p>
      <w:pPr>
        <w:widowControl/>
        <w:numPr>
          <w:ilvl w:val="1"/>
          <w:numId w:val="21"/>
        </w:numPr>
        <w:spacing w:after="156"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在保修期内非甲方人为使用不当原因引起的设备故障，乙方负责排除缺陷、修理或替换出现故障的部件、元件和设备(包括软件和硬件，并运送至设备运行现场)，所有费用由乙方承担。</w:t>
      </w:r>
    </w:p>
    <w:p>
      <w:pPr>
        <w:widowControl/>
        <w:numPr>
          <w:ilvl w:val="1"/>
          <w:numId w:val="21"/>
        </w:numPr>
        <w:spacing w:after="156"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为了对协议设备进行维护，乙方应在保修期内对出现故障部分免费尽快进行修理或替换，具体要求见保修服务级别约定。</w:t>
      </w:r>
    </w:p>
    <w:p>
      <w:pPr>
        <w:widowControl/>
        <w:numPr>
          <w:ilvl w:val="1"/>
          <w:numId w:val="21"/>
        </w:numPr>
        <w:spacing w:after="156"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保修期内，乙方应按照服务级别约定提供设备软件，系统软件，设备固件，相关管理软件的支持服务，保证软件版本及时更新，功能完整可用。</w:t>
      </w:r>
    </w:p>
    <w:p>
      <w:pPr>
        <w:widowControl/>
        <w:numPr>
          <w:ilvl w:val="1"/>
          <w:numId w:val="21"/>
        </w:numPr>
        <w:spacing w:after="156"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保修期内,如果乙方进行了技术改进(包括硬件及相关软件),且甲方认为这项改进对甲方或甲方的关联公司有重要意义并对设备运行维护有实用价值,乙方应免费向甲方或甲方的关联公司提供与这些改进有关的技术文件和软件升级。</w:t>
      </w:r>
    </w:p>
    <w:p>
      <w:pPr>
        <w:widowControl/>
        <w:numPr>
          <w:ilvl w:val="1"/>
          <w:numId w:val="21"/>
        </w:numPr>
        <w:spacing w:after="156"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乙方应提供准确的保修服务接口，如指定服务经理，呼叫中心的准确信息和联系方式，并及时更新</w:t>
      </w:r>
    </w:p>
    <w:p>
      <w:pPr>
        <w:pStyle w:val="2"/>
        <w:numPr>
          <w:ilvl w:val="1"/>
          <w:numId w:val="9"/>
        </w:numPr>
        <w:spacing w:line="360" w:lineRule="auto"/>
        <w:ind w:left="1260" w:hanging="420"/>
        <w:rPr>
          <w:rFonts w:hint="eastAsia" w:ascii="仿宋_GB2312" w:hAnsi="仿宋_GB2312" w:eastAsia="仿宋_GB2312" w:cs="仿宋_GB2312"/>
          <w:b/>
          <w:szCs w:val="28"/>
        </w:rPr>
      </w:pPr>
      <w:bookmarkStart w:id="38" w:name="_Toc15030910"/>
      <w:r>
        <w:rPr>
          <w:rFonts w:hint="eastAsia" w:ascii="仿宋_GB2312" w:hAnsi="仿宋_GB2312" w:eastAsia="仿宋_GB2312" w:cs="仿宋_GB2312"/>
          <w:b/>
          <w:szCs w:val="28"/>
        </w:rPr>
        <w:t>保修服务级别：</w:t>
      </w:r>
      <w:bookmarkEnd w:id="38"/>
    </w:p>
    <w:p>
      <w:pPr>
        <w:widowControl/>
        <w:numPr>
          <w:ilvl w:val="1"/>
          <w:numId w:val="22"/>
        </w:numPr>
        <w:spacing w:after="156"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在保修期内，乙方应提供7X24小时技术支持，包扩针对硬件设备，软件系统以及系统操作的故障，事件和服务要求。（包含所有国家法定的节假日及休息日）</w:t>
      </w:r>
    </w:p>
    <w:p>
      <w:pPr>
        <w:widowControl/>
        <w:numPr>
          <w:ilvl w:val="1"/>
          <w:numId w:val="22"/>
        </w:numPr>
        <w:spacing w:after="156"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工作时段范围：乙方应提供7X24时段内快速响应，对甲方的服务要求响应时间不应超过20分钟，甲方要求现场解决的，乙方服务代表或工程师应在2小时内到达设备服务现场。</w:t>
      </w:r>
    </w:p>
    <w:p>
      <w:pPr>
        <w:widowControl/>
        <w:numPr>
          <w:ilvl w:val="1"/>
          <w:numId w:val="22"/>
        </w:numPr>
        <w:spacing w:after="156"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场响应时间：乙方接到甲方服务要求后2小时内到达现场开始服务，现场响应时间是指从乙方接到最初服务呼叫或申请的时间开始，到乙方的服务代表到达甲方客户现场，或者上报的事件或故障已关闭、且乙方明确说明已确定故障当前不需要现场干预的这一段时间为止。</w:t>
      </w:r>
    </w:p>
    <w:p>
      <w:pPr>
        <w:widowControl/>
        <w:numPr>
          <w:ilvl w:val="1"/>
          <w:numId w:val="22"/>
        </w:numPr>
        <w:spacing w:after="156"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备件响应时间：现场维修服务需要备件的情况下，乙方服务代表或工程师应携带正确的备件在2小时内到达现场，并迅速完成故障备件更换及测试，保证设备正常运行。</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对于更换的备件，乙方有义务对备件的质量和隐患负责，并提供故障备件的故障诊断结果。</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乙方方对于拟更换的硬件，应进行必要的检测，甲方在接收时有权进行验收测试。</w:t>
      </w:r>
    </w:p>
    <w:p>
      <w:pPr>
        <w:widowControl/>
        <w:numPr>
          <w:ilvl w:val="1"/>
          <w:numId w:val="22"/>
        </w:numPr>
        <w:spacing w:after="156"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对于更换的硬件，应享有随主设备相同的保修服务，若反复出现故障将在考核中予以扣分。</w:t>
      </w:r>
    </w:p>
    <w:p>
      <w:pPr>
        <w:widowControl/>
        <w:numPr>
          <w:ilvl w:val="1"/>
          <w:numId w:val="22"/>
        </w:numPr>
        <w:spacing w:after="156"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现场备件要求：乙方应在甲方现场常备必要的备件以保证在规定时间内完成故障处理，并在投标时明确提交对应的备件清单，包含备件型号，描述及数量等详细信息。</w:t>
      </w:r>
    </w:p>
    <w:p>
      <w:pPr>
        <w:widowControl/>
        <w:numPr>
          <w:ilvl w:val="1"/>
          <w:numId w:val="22"/>
        </w:numPr>
        <w:spacing w:after="156"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故障处理时间：系统故障完全修复时间不应超过12小时。</w:t>
      </w:r>
    </w:p>
    <w:p>
      <w:pPr>
        <w:widowControl/>
        <w:numPr>
          <w:ilvl w:val="1"/>
          <w:numId w:val="22"/>
        </w:numPr>
        <w:spacing w:after="156"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服务文档及报告：每次现场服务结束后，乙方现场服务人员应提供必要的保修服务文档，并须得到甲方书面签署确认。双方共同签署的维修服务报告视为本次保修任务的完成，且成为保修服务评分标准。</w:t>
      </w:r>
    </w:p>
    <w:p>
      <w:pPr>
        <w:widowControl/>
        <w:numPr>
          <w:ilvl w:val="1"/>
          <w:numId w:val="22"/>
        </w:numPr>
        <w:spacing w:after="156"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在保修期内，如果由于乙方的责任，系统功能不能达到相关技术规范要求及应答或者系统不能进行正常运行，保修期将按照相同于上述问题持续的时间作相应延长。</w:t>
      </w:r>
    </w:p>
    <w:p>
      <w:pPr>
        <w:widowControl/>
        <w:numPr>
          <w:ilvl w:val="1"/>
          <w:numId w:val="22"/>
        </w:numPr>
        <w:spacing w:after="156"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乙方应在保修期内提供必要的生产厂商的技术资料共享，乙方将在保修期内每年进行客户回访，并向甲方或甲方的关联公司提交书面报告。</w:t>
      </w:r>
    </w:p>
    <w:p>
      <w:pPr>
        <w:pStyle w:val="2"/>
        <w:numPr>
          <w:ilvl w:val="1"/>
          <w:numId w:val="9"/>
        </w:numPr>
        <w:spacing w:line="360" w:lineRule="auto"/>
        <w:ind w:left="1260" w:hanging="420"/>
        <w:rPr>
          <w:rFonts w:hint="eastAsia" w:ascii="仿宋_GB2312" w:hAnsi="仿宋_GB2312" w:eastAsia="仿宋_GB2312" w:cs="仿宋_GB2312"/>
          <w:szCs w:val="28"/>
        </w:rPr>
      </w:pPr>
      <w:bookmarkStart w:id="39" w:name="_Toc15030911"/>
      <w:r>
        <w:rPr>
          <w:rFonts w:hint="eastAsia" w:ascii="仿宋_GB2312" w:hAnsi="仿宋_GB2312" w:eastAsia="仿宋_GB2312" w:cs="仿宋_GB2312"/>
          <w:szCs w:val="28"/>
        </w:rPr>
        <w:t>软件支持服务</w:t>
      </w:r>
      <w:bookmarkEnd w:id="39"/>
    </w:p>
    <w:p>
      <w:pPr>
        <w:widowControl/>
        <w:numPr>
          <w:ilvl w:val="1"/>
          <w:numId w:val="23"/>
        </w:numPr>
        <w:spacing w:after="156"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乙方应免费提供系统软件及其他相关软件的版本升级，升级许可证，软件介质</w:t>
      </w:r>
    </w:p>
    <w:p>
      <w:pPr>
        <w:widowControl/>
        <w:numPr>
          <w:ilvl w:val="1"/>
          <w:numId w:val="23"/>
        </w:numPr>
        <w:spacing w:after="156"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乙方应免费提供系统软件及其他相关软件的软件补丁</w:t>
      </w:r>
    </w:p>
    <w:p>
      <w:pPr>
        <w:widowControl/>
        <w:numPr>
          <w:ilvl w:val="1"/>
          <w:numId w:val="23"/>
        </w:numPr>
        <w:spacing w:after="156"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乙方应根据甲方要求，提供免费系统及系统软件升级服务，补丁分析及相关软件服务</w:t>
      </w:r>
    </w:p>
    <w:p>
      <w:pPr>
        <w:widowControl/>
        <w:numPr>
          <w:ilvl w:val="1"/>
          <w:numId w:val="23"/>
        </w:numPr>
        <w:spacing w:after="156"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乙方应根据甲方要求提供系统固件升级分析，以及甲方许可的系统固件升级服务。</w:t>
      </w:r>
    </w:p>
    <w:p>
      <w:pPr>
        <w:pStyle w:val="2"/>
        <w:numPr>
          <w:ilvl w:val="1"/>
          <w:numId w:val="9"/>
        </w:numPr>
        <w:spacing w:line="360" w:lineRule="auto"/>
        <w:ind w:left="1260" w:hanging="420"/>
        <w:rPr>
          <w:rFonts w:hint="eastAsia" w:ascii="仿宋_GB2312" w:hAnsi="仿宋_GB2312" w:eastAsia="仿宋_GB2312" w:cs="仿宋_GB2312"/>
          <w:b/>
          <w:szCs w:val="28"/>
        </w:rPr>
      </w:pPr>
      <w:bookmarkStart w:id="40" w:name="_Toc15030912"/>
      <w:r>
        <w:rPr>
          <w:rFonts w:hint="eastAsia" w:ascii="仿宋_GB2312" w:hAnsi="仿宋_GB2312" w:eastAsia="仿宋_GB2312" w:cs="仿宋_GB2312"/>
          <w:szCs w:val="28"/>
        </w:rPr>
        <w:t>★</w:t>
      </w:r>
      <w:r>
        <w:rPr>
          <w:rFonts w:hint="eastAsia" w:ascii="仿宋_GB2312" w:hAnsi="仿宋_GB2312" w:eastAsia="仿宋_GB2312" w:cs="仿宋_GB2312"/>
          <w:b/>
          <w:szCs w:val="28"/>
        </w:rPr>
        <w:t>保修期内的维护服务要求（包含在总报价内，不再另行收费）：</w:t>
      </w:r>
      <w:bookmarkEnd w:id="40"/>
    </w:p>
    <w:p>
      <w:pPr>
        <w:widowControl/>
        <w:numPr>
          <w:ilvl w:val="1"/>
          <w:numId w:val="24"/>
        </w:numPr>
        <w:spacing w:after="156" w:line="360" w:lineRule="auto"/>
        <w:jc w:val="left"/>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shd w:val="clear" w:color="000000" w:fill="FFFFFF"/>
        </w:rPr>
        <w:t>定期设备巡检服务（不少于每半年一次）。</w:t>
      </w:r>
      <w:r>
        <w:rPr>
          <w:rFonts w:hint="eastAsia" w:ascii="仿宋_GB2312" w:hAnsi="仿宋_GB2312" w:eastAsia="仿宋_GB2312" w:cs="仿宋_GB2312"/>
          <w:sz w:val="28"/>
          <w:szCs w:val="28"/>
        </w:rPr>
        <w:t>投标方应派出技术经验丰富的工程师，及时到现场调查，若发现投标方设备运行有故障隐患或缺陷，应分析原因并采取必要的措施消除其隐患，保证网络中设备稳定运行。</w:t>
      </w:r>
    </w:p>
    <w:p>
      <w:pPr>
        <w:widowControl/>
        <w:numPr>
          <w:ilvl w:val="1"/>
          <w:numId w:val="24"/>
        </w:numPr>
        <w:spacing w:after="156" w:line="360" w:lineRule="auto"/>
        <w:jc w:val="left"/>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shd w:val="clear" w:color="000000" w:fill="FFFFFF"/>
        </w:rPr>
        <w:t>按原厂维护保养手册要求完成机油、滤芯、防冻液等耗材的更换或补充，包含人工和材料。</w:t>
      </w:r>
      <w:r>
        <w:rPr>
          <w:rFonts w:hint="eastAsia" w:ascii="仿宋_GB2312" w:hAnsi="仿宋_GB2312" w:eastAsia="仿宋_GB2312" w:cs="仿宋_GB2312"/>
          <w:sz w:val="28"/>
          <w:szCs w:val="28"/>
          <w:shd w:val="clear" w:color="000000" w:fill="FFFFFF"/>
        </w:rPr>
        <w:br w:type="textWrapping"/>
      </w:r>
      <w:r>
        <w:rPr>
          <w:rFonts w:hint="eastAsia" w:ascii="仿宋_GB2312" w:hAnsi="仿宋_GB2312" w:eastAsia="仿宋_GB2312" w:cs="仿宋_GB2312"/>
          <w:sz w:val="28"/>
          <w:szCs w:val="28"/>
          <w:shd w:val="clear" w:color="000000" w:fill="FFFFFF"/>
        </w:rPr>
        <w:t>具体要求为：需提交双方签字认可的维护服务报告。</w:t>
      </w:r>
    </w:p>
    <w:p>
      <w:pPr>
        <w:pStyle w:val="2"/>
        <w:numPr>
          <w:ilvl w:val="1"/>
          <w:numId w:val="9"/>
        </w:numPr>
        <w:spacing w:line="360" w:lineRule="auto"/>
        <w:ind w:left="1260" w:hanging="420"/>
        <w:rPr>
          <w:rFonts w:hint="eastAsia" w:ascii="仿宋_GB2312" w:hAnsi="仿宋_GB2312" w:eastAsia="仿宋_GB2312" w:cs="仿宋_GB2312"/>
          <w:b/>
          <w:szCs w:val="28"/>
        </w:rPr>
      </w:pPr>
      <w:bookmarkStart w:id="41" w:name="_Toc15030913"/>
      <w:r>
        <w:rPr>
          <w:rFonts w:hint="eastAsia" w:ascii="仿宋_GB2312" w:hAnsi="仿宋_GB2312" w:eastAsia="仿宋_GB2312" w:cs="仿宋_GB2312"/>
          <w:b/>
          <w:szCs w:val="28"/>
        </w:rPr>
        <w:t>设备保修期满后服务要求:</w:t>
      </w:r>
      <w:bookmarkEnd w:id="41"/>
    </w:p>
    <w:p>
      <w:pPr>
        <w:widowControl/>
        <w:numPr>
          <w:ilvl w:val="1"/>
          <w:numId w:val="25"/>
        </w:numPr>
        <w:spacing w:after="156"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在保修期满后十年内，乙方及设备制造商须保证继续提供必要的技术支持，人工服务，以及备品备件供应服务</w:t>
      </w:r>
    </w:p>
    <w:p>
      <w:pPr>
        <w:widowControl/>
        <w:numPr>
          <w:ilvl w:val="1"/>
          <w:numId w:val="25"/>
        </w:numPr>
        <w:spacing w:after="156"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如果甲方向乙方提出单次服务要求，乙方应在合理的时间内对发生故障的设备修理完毕，乙方应仅收取返修件的实际人工和生产成本费用。</w:t>
      </w:r>
    </w:p>
    <w:p>
      <w:pPr>
        <w:widowControl/>
        <w:numPr>
          <w:ilvl w:val="1"/>
          <w:numId w:val="25"/>
        </w:numPr>
        <w:spacing w:after="156"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在投标中，乙方应明确提供单次服务人工费用收费标准和价格。</w:t>
      </w:r>
    </w:p>
    <w:p>
      <w:pPr>
        <w:pStyle w:val="2"/>
        <w:numPr>
          <w:ilvl w:val="1"/>
          <w:numId w:val="9"/>
        </w:numPr>
        <w:spacing w:line="360" w:lineRule="auto"/>
        <w:ind w:left="1260" w:hanging="420"/>
        <w:rPr>
          <w:rFonts w:hint="eastAsia" w:ascii="仿宋_GB2312" w:hAnsi="仿宋_GB2312" w:eastAsia="仿宋_GB2312" w:cs="仿宋_GB2312"/>
          <w:b/>
          <w:szCs w:val="28"/>
        </w:rPr>
      </w:pPr>
      <w:bookmarkStart w:id="42" w:name="_Toc15030914"/>
      <w:r>
        <w:rPr>
          <w:rFonts w:hint="eastAsia" w:ascii="仿宋_GB2312" w:hAnsi="仿宋_GB2312" w:eastAsia="仿宋_GB2312" w:cs="仿宋_GB2312"/>
          <w:b/>
          <w:szCs w:val="28"/>
        </w:rPr>
        <w:t>保修期满后的售后服务合约：</w:t>
      </w:r>
      <w:bookmarkEnd w:id="42"/>
    </w:p>
    <w:p>
      <w:pPr>
        <w:widowControl/>
        <w:numPr>
          <w:ilvl w:val="2"/>
          <w:numId w:val="26"/>
        </w:numPr>
        <w:spacing w:after="156"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乙方承诺，在售后服务期满十年内，根据甲方要求与甲方或其授权人，签署设备维护及维修服务合约并提供相应服务</w:t>
      </w:r>
    </w:p>
    <w:p>
      <w:pPr>
        <w:widowControl/>
        <w:numPr>
          <w:ilvl w:val="2"/>
          <w:numId w:val="26"/>
        </w:numPr>
        <w:spacing w:after="156"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乙方须承诺：在与保修期内服务内容及服务级别相同的要求下，乙方应提交维保服务合约价格承诺，并承诺在保修期满后三年内，以不超过所承诺的价格提供要求的服务</w:t>
      </w:r>
    </w:p>
    <w:p>
      <w:pPr>
        <w:widowControl/>
        <w:numPr>
          <w:ilvl w:val="2"/>
          <w:numId w:val="26"/>
        </w:numPr>
        <w:spacing w:after="156"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甲方有权决定是否购买维保服务合约</w:t>
      </w:r>
    </w:p>
    <w:p>
      <w:pPr>
        <w:pStyle w:val="2"/>
        <w:numPr>
          <w:ilvl w:val="1"/>
          <w:numId w:val="9"/>
        </w:numPr>
        <w:spacing w:line="360" w:lineRule="auto"/>
        <w:ind w:left="1260" w:hanging="420"/>
        <w:rPr>
          <w:rFonts w:hint="eastAsia" w:ascii="仿宋_GB2312" w:hAnsi="仿宋_GB2312" w:eastAsia="仿宋_GB2312" w:cs="仿宋_GB2312"/>
          <w:b/>
          <w:szCs w:val="28"/>
        </w:rPr>
      </w:pPr>
      <w:bookmarkStart w:id="43" w:name="_Toc15030915"/>
      <w:r>
        <w:rPr>
          <w:rFonts w:hint="eastAsia" w:ascii="仿宋_GB2312" w:hAnsi="仿宋_GB2312" w:eastAsia="仿宋_GB2312" w:cs="仿宋_GB2312"/>
          <w:b/>
          <w:szCs w:val="28"/>
        </w:rPr>
        <w:t>保修期及保修期满后备品及备件支持承诺</w:t>
      </w:r>
      <w:bookmarkEnd w:id="43"/>
    </w:p>
    <w:p>
      <w:pPr>
        <w:widowControl/>
        <w:numPr>
          <w:ilvl w:val="2"/>
          <w:numId w:val="27"/>
        </w:numPr>
        <w:spacing w:after="156"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乙方应明确承诺在保修期内，以及保修期满十年内，满足甲方的备品及备件供应要求</w:t>
      </w:r>
    </w:p>
    <w:p>
      <w:pPr>
        <w:widowControl/>
        <w:numPr>
          <w:ilvl w:val="2"/>
          <w:numId w:val="27"/>
        </w:numPr>
        <w:spacing w:after="156"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乙方应根据设备技术及使用情况的估计，提供清晰明确的备品备件明细清单，并明示每项备件的采购价格上限</w:t>
      </w:r>
    </w:p>
    <w:p>
      <w:pPr>
        <w:widowControl/>
        <w:numPr>
          <w:ilvl w:val="2"/>
          <w:numId w:val="27"/>
        </w:numPr>
        <w:spacing w:after="156"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乙方提交的备品备件价格清单应包含清晰的备件名称，备件型号，备件描述，备件价格，相关条款等详细信息</w:t>
      </w:r>
    </w:p>
    <w:p>
      <w:pPr>
        <w:widowControl/>
        <w:numPr>
          <w:ilvl w:val="2"/>
          <w:numId w:val="27"/>
        </w:numPr>
        <w:spacing w:after="156"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乙方承诺在保修期满后三年内，以不高于上述列表所承诺的价格，按照甲方要求的备件种类及数量及时提供备品备件供应服务，供货周期应合理，且不长于乙方向其客户提供备件的平均时间</w:t>
      </w:r>
    </w:p>
    <w:p>
      <w:pPr>
        <w:widowControl/>
        <w:numPr>
          <w:ilvl w:val="2"/>
          <w:numId w:val="27"/>
        </w:numPr>
        <w:spacing w:after="156"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如果涉及甲方采购设备的备件更新换代，乙方应及时通知甲方，并保证以不高于原承诺价格供应对应的更新备件。同时乙方应保证备件与原采购系统的兼容并不影响系统的功能及正常运行。</w:t>
      </w:r>
    </w:p>
    <w:p>
      <w:pPr>
        <w:pStyle w:val="2"/>
        <w:numPr>
          <w:ilvl w:val="1"/>
          <w:numId w:val="9"/>
        </w:numPr>
        <w:spacing w:line="360" w:lineRule="auto"/>
        <w:ind w:left="1260" w:hanging="420"/>
        <w:rPr>
          <w:rFonts w:hint="eastAsia" w:ascii="仿宋_GB2312" w:hAnsi="仿宋_GB2312" w:eastAsia="仿宋_GB2312" w:cs="仿宋_GB2312"/>
          <w:b/>
          <w:szCs w:val="28"/>
        </w:rPr>
      </w:pPr>
      <w:bookmarkStart w:id="44" w:name="_Toc15030916"/>
      <w:r>
        <w:rPr>
          <w:rFonts w:hint="eastAsia" w:ascii="仿宋_GB2312" w:hAnsi="仿宋_GB2312" w:eastAsia="仿宋_GB2312" w:cs="仿宋_GB2312"/>
          <w:b/>
          <w:szCs w:val="28"/>
        </w:rPr>
        <w:t>保修期及保修期满后设备软件、系统软件及管理软件支持承诺</w:t>
      </w:r>
      <w:bookmarkEnd w:id="44"/>
    </w:p>
    <w:p>
      <w:pPr>
        <w:widowControl/>
        <w:numPr>
          <w:ilvl w:val="0"/>
          <w:numId w:val="28"/>
        </w:numPr>
        <w:spacing w:line="360" w:lineRule="auto"/>
        <w:ind w:left="98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乙方应明确承诺在保修期内，以及保修期满十年内，满足甲方在设备软件，系统软件及相关管理软件的支持服务要求</w:t>
      </w:r>
    </w:p>
    <w:p>
      <w:pPr>
        <w:widowControl/>
        <w:numPr>
          <w:ilvl w:val="0"/>
          <w:numId w:val="28"/>
        </w:numPr>
        <w:spacing w:line="360" w:lineRule="auto"/>
        <w:ind w:left="98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须列出所有相关软件系统清单，并承诺在上述时间内免费提供的详细服务，应包含但不限于软件技术支持，软件版本升级许可，软件补丁，系统固件升级，相关软件介质，软件升级服务等。乙方提交的清单应包含清晰的软件名称，现版本号，软件描述等</w:t>
      </w:r>
    </w:p>
    <w:p>
      <w:pPr>
        <w:pStyle w:val="2"/>
        <w:numPr>
          <w:ilvl w:val="1"/>
          <w:numId w:val="9"/>
        </w:numPr>
        <w:spacing w:line="360" w:lineRule="auto"/>
        <w:ind w:left="1260" w:hanging="420"/>
        <w:rPr>
          <w:rFonts w:hint="eastAsia" w:ascii="仿宋_GB2312" w:hAnsi="仿宋_GB2312" w:eastAsia="仿宋_GB2312" w:cs="仿宋_GB2312"/>
          <w:b/>
          <w:szCs w:val="28"/>
        </w:rPr>
      </w:pPr>
      <w:bookmarkStart w:id="45" w:name="_Toc15030917"/>
      <w:r>
        <w:rPr>
          <w:rFonts w:hint="eastAsia" w:ascii="仿宋_GB2312" w:hAnsi="仿宋_GB2312" w:eastAsia="仿宋_GB2312" w:cs="仿宋_GB2312"/>
          <w:b/>
          <w:szCs w:val="28"/>
        </w:rPr>
        <w:t>培训</w:t>
      </w:r>
      <w:bookmarkEnd w:id="45"/>
    </w:p>
    <w:p>
      <w:pPr>
        <w:spacing w:line="360" w:lineRule="auto"/>
        <w:ind w:firstLine="4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投标人应负责安排在现场对招标人人员（不少于5人次）进行操作、运行、管理等培训（要求有培训大纲），并直至教会。培训的内容应包括但不限于：</w:t>
      </w:r>
    </w:p>
    <w:p>
      <w:pPr>
        <w:widowControl/>
        <w:numPr>
          <w:ilvl w:val="0"/>
          <w:numId w:val="29"/>
        </w:numPr>
        <w:spacing w:line="360" w:lineRule="auto"/>
        <w:ind w:left="98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机组的组成、结构及原理</w:t>
      </w:r>
    </w:p>
    <w:p>
      <w:pPr>
        <w:widowControl/>
        <w:numPr>
          <w:ilvl w:val="0"/>
          <w:numId w:val="29"/>
        </w:numPr>
        <w:spacing w:line="360" w:lineRule="auto"/>
        <w:ind w:left="98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机组的正常操作和使用方法：</w:t>
      </w:r>
    </w:p>
    <w:p>
      <w:pPr>
        <w:widowControl/>
        <w:numPr>
          <w:ilvl w:val="0"/>
          <w:numId w:val="29"/>
        </w:numPr>
        <w:spacing w:line="360" w:lineRule="auto"/>
        <w:ind w:left="98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机组的日常维护和保养方法。</w:t>
      </w:r>
    </w:p>
    <w:p>
      <w:pPr>
        <w:pStyle w:val="2"/>
        <w:numPr>
          <w:ilvl w:val="1"/>
          <w:numId w:val="9"/>
        </w:numPr>
        <w:spacing w:line="360" w:lineRule="auto"/>
        <w:ind w:left="1260" w:hanging="420"/>
        <w:rPr>
          <w:rFonts w:hint="eastAsia" w:ascii="仿宋_GB2312" w:hAnsi="仿宋_GB2312" w:eastAsia="仿宋_GB2312" w:cs="仿宋_GB2312"/>
          <w:b/>
          <w:szCs w:val="28"/>
        </w:rPr>
      </w:pPr>
      <w:bookmarkStart w:id="46" w:name="_Toc15030918"/>
      <w:r>
        <w:rPr>
          <w:rFonts w:hint="eastAsia" w:ascii="仿宋_GB2312" w:hAnsi="仿宋_GB2312" w:eastAsia="仿宋_GB2312" w:cs="仿宋_GB2312"/>
          <w:b/>
          <w:szCs w:val="28"/>
        </w:rPr>
        <w:t>设备功能测试</w:t>
      </w:r>
      <w:bookmarkEnd w:id="46"/>
    </w:p>
    <w:p>
      <w:pPr>
        <w:widowControl/>
        <w:numPr>
          <w:ilvl w:val="0"/>
          <w:numId w:val="30"/>
        </w:numPr>
        <w:spacing w:line="360" w:lineRule="auto"/>
        <w:ind w:left="98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机组的正常操作和使用方法：施工检查测试完成后，设备供货单位按测试计划提供全程的人员配合功能测试。</w:t>
      </w:r>
    </w:p>
    <w:p>
      <w:pPr>
        <w:widowControl/>
        <w:numPr>
          <w:ilvl w:val="0"/>
          <w:numId w:val="30"/>
        </w:numPr>
        <w:spacing w:line="360" w:lineRule="auto"/>
        <w:ind w:left="98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设备供货单位每专业最少有1名专业技术人员在现场按流程要求完成施工检查的配合工作，并服从甲方和验证测试方的管理。</w:t>
      </w:r>
    </w:p>
    <w:p>
      <w:pPr>
        <w:widowControl/>
        <w:numPr>
          <w:ilvl w:val="0"/>
          <w:numId w:val="30"/>
        </w:numPr>
        <w:spacing w:line="360" w:lineRule="auto"/>
        <w:ind w:left="98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测试期间若出现施工调试问题，设备供货单位应当及时解决，问题处理过程不可影响到整体的测试进度。</w:t>
      </w:r>
    </w:p>
    <w:p>
      <w:pPr>
        <w:pStyle w:val="2"/>
        <w:numPr>
          <w:ilvl w:val="1"/>
          <w:numId w:val="9"/>
        </w:numPr>
        <w:spacing w:line="360" w:lineRule="auto"/>
        <w:ind w:left="1260" w:hanging="420"/>
        <w:rPr>
          <w:rFonts w:hint="eastAsia" w:ascii="仿宋_GB2312" w:hAnsi="仿宋_GB2312" w:eastAsia="仿宋_GB2312" w:cs="仿宋_GB2312"/>
          <w:b/>
          <w:szCs w:val="28"/>
        </w:rPr>
      </w:pPr>
      <w:bookmarkStart w:id="47" w:name="_Toc15030919"/>
      <w:r>
        <w:rPr>
          <w:rFonts w:hint="eastAsia" w:ascii="仿宋_GB2312" w:hAnsi="仿宋_GB2312" w:eastAsia="仿宋_GB2312" w:cs="仿宋_GB2312"/>
          <w:b/>
          <w:szCs w:val="28"/>
        </w:rPr>
        <w:t>联合测试</w:t>
      </w:r>
      <w:bookmarkEnd w:id="47"/>
    </w:p>
    <w:p>
      <w:pPr>
        <w:spacing w:before="312" w:line="360" w:lineRule="auto"/>
        <w:ind w:left="567"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备供货单位在测试过程中按测试计划提供全程的人员配合，每专业最少有1名专业技术人员在现场配合联合测试工作,并提供配合工作所需的专业工具和仪器，有义务保证所用工具和仪器符合相关标准和要求。如检查过程中发现产品问题,应当及时解决,处理过程不应当影响到后续的测试进度和交付计划。</w:t>
      </w:r>
    </w:p>
    <w:p>
      <w:pPr>
        <w:pStyle w:val="2"/>
        <w:numPr>
          <w:ilvl w:val="1"/>
          <w:numId w:val="9"/>
        </w:numPr>
        <w:spacing w:line="360" w:lineRule="auto"/>
        <w:ind w:left="1260" w:hanging="420"/>
        <w:rPr>
          <w:rFonts w:hint="eastAsia" w:ascii="仿宋_GB2312" w:hAnsi="仿宋_GB2312" w:eastAsia="仿宋_GB2312" w:cs="仿宋_GB2312"/>
          <w:b/>
          <w:szCs w:val="28"/>
        </w:rPr>
      </w:pPr>
      <w:bookmarkStart w:id="48" w:name="_Toc15030920"/>
      <w:r>
        <w:rPr>
          <w:rFonts w:hint="eastAsia" w:ascii="仿宋_GB2312" w:hAnsi="仿宋_GB2312" w:eastAsia="仿宋_GB2312" w:cs="仿宋_GB2312"/>
          <w:b/>
          <w:szCs w:val="28"/>
        </w:rPr>
        <w:t>运输及储存</w:t>
      </w:r>
      <w:bookmarkEnd w:id="48"/>
    </w:p>
    <w:p>
      <w:pPr>
        <w:widowControl/>
        <w:numPr>
          <w:ilvl w:val="0"/>
          <w:numId w:val="31"/>
        </w:numPr>
        <w:spacing w:line="360" w:lineRule="auto"/>
        <w:ind w:left="98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为了安全装卸与运输，设备供应商对设备及辅助材料应有可靠的包装，并附相关文件和标志及标签、装卸运送及吊装的要求。</w:t>
      </w:r>
    </w:p>
    <w:p>
      <w:pPr>
        <w:widowControl/>
        <w:numPr>
          <w:ilvl w:val="0"/>
          <w:numId w:val="31"/>
        </w:numPr>
        <w:spacing w:line="360" w:lineRule="auto"/>
        <w:ind w:left="98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包装应设防振、防碰撞、防水的保护设施，以保证在运输过程中设备及其零部件不受损伤或进入灰尘、雨水等。</w:t>
      </w:r>
    </w:p>
    <w:p>
      <w:pPr>
        <w:widowControl/>
        <w:numPr>
          <w:ilvl w:val="0"/>
          <w:numId w:val="31"/>
        </w:numPr>
        <w:spacing w:line="360" w:lineRule="auto"/>
        <w:ind w:left="98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设备供应商提供运输、储存方案。</w:t>
      </w:r>
    </w:p>
    <w:p>
      <w:pPr>
        <w:widowControl/>
        <w:numPr>
          <w:ilvl w:val="0"/>
          <w:numId w:val="31"/>
        </w:numPr>
        <w:spacing w:line="360" w:lineRule="auto"/>
        <w:ind w:left="98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设备供应商对合同规定的运输和储存的部分，提供储藏场地及库房，且满足其规定的储藏条件。并提供吊车、人力及卸货所需的设备。</w:t>
      </w:r>
    </w:p>
    <w:p>
      <w:pPr>
        <w:widowControl/>
        <w:numPr>
          <w:ilvl w:val="0"/>
          <w:numId w:val="31"/>
        </w:numPr>
        <w:spacing w:line="360" w:lineRule="auto"/>
        <w:ind w:left="98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如合同或有另外要求时则以要求为准。</w:t>
      </w:r>
    </w:p>
    <w:p>
      <w:pPr>
        <w:pStyle w:val="2"/>
        <w:numPr>
          <w:ilvl w:val="1"/>
          <w:numId w:val="9"/>
        </w:numPr>
        <w:spacing w:line="360" w:lineRule="auto"/>
        <w:ind w:left="1260" w:hanging="420"/>
        <w:rPr>
          <w:rFonts w:hint="eastAsia" w:ascii="仿宋_GB2312" w:hAnsi="仿宋_GB2312" w:eastAsia="仿宋_GB2312" w:cs="仿宋_GB2312"/>
          <w:b/>
          <w:szCs w:val="28"/>
        </w:rPr>
      </w:pPr>
      <w:bookmarkStart w:id="49" w:name="_Toc15030921"/>
      <w:r>
        <w:rPr>
          <w:rFonts w:hint="eastAsia" w:ascii="仿宋_GB2312" w:hAnsi="仿宋_GB2312" w:eastAsia="仿宋_GB2312" w:cs="仿宋_GB2312"/>
          <w:b/>
          <w:szCs w:val="28"/>
        </w:rPr>
        <w:t>出厂检验及功能考核</w:t>
      </w:r>
      <w:bookmarkEnd w:id="49"/>
    </w:p>
    <w:p>
      <w:pPr>
        <w:widowControl/>
        <w:numPr>
          <w:ilvl w:val="0"/>
          <w:numId w:val="32"/>
        </w:numPr>
        <w:spacing w:line="360" w:lineRule="auto"/>
        <w:ind w:left="98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在出厂检验的30天前提交相应的厂验大纲以及检验计划给招标人，经招标人确认后，组织出厂检验。</w:t>
      </w:r>
    </w:p>
    <w:p>
      <w:pPr>
        <w:widowControl/>
        <w:numPr>
          <w:ilvl w:val="0"/>
          <w:numId w:val="32"/>
        </w:numPr>
        <w:spacing w:line="360" w:lineRule="auto"/>
        <w:ind w:left="98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投标人应负责安排招标人人员（不少于5人次）针对其所购买的设备对其进行原产地验收。</w:t>
      </w:r>
    </w:p>
    <w:p>
      <w:pPr>
        <w:widowControl/>
        <w:numPr>
          <w:ilvl w:val="0"/>
          <w:numId w:val="32"/>
        </w:numPr>
        <w:spacing w:line="360" w:lineRule="auto"/>
        <w:ind w:left="98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对于一体式集装箱机组，招标人在机组发货前，到制造工厂对机组进行出厂前检验，检验合格后方可发货。</w:t>
      </w:r>
    </w:p>
    <w:p>
      <w:pPr>
        <w:widowControl/>
        <w:numPr>
          <w:ilvl w:val="0"/>
          <w:numId w:val="32"/>
        </w:numPr>
        <w:spacing w:line="360" w:lineRule="auto"/>
        <w:ind w:left="98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对于厂验招标人有权指定任意一台设备进行工厂负载测试。</w:t>
      </w:r>
    </w:p>
    <w:p>
      <w:pPr>
        <w:pStyle w:val="2"/>
        <w:numPr>
          <w:ilvl w:val="1"/>
          <w:numId w:val="9"/>
        </w:numPr>
        <w:spacing w:line="360" w:lineRule="auto"/>
        <w:ind w:left="1260" w:hanging="420"/>
        <w:rPr>
          <w:rFonts w:hint="eastAsia" w:ascii="仿宋_GB2312" w:hAnsi="仿宋_GB2312" w:eastAsia="仿宋_GB2312" w:cs="仿宋_GB2312"/>
          <w:b/>
          <w:szCs w:val="28"/>
        </w:rPr>
      </w:pPr>
      <w:bookmarkStart w:id="50" w:name="_Toc15030922"/>
      <w:r>
        <w:rPr>
          <w:rFonts w:hint="eastAsia" w:ascii="仿宋_GB2312" w:hAnsi="仿宋_GB2312" w:eastAsia="仿宋_GB2312" w:cs="仿宋_GB2312"/>
          <w:b/>
          <w:szCs w:val="28"/>
        </w:rPr>
        <w:t>工程进度要求</w:t>
      </w:r>
      <w:bookmarkEnd w:id="50"/>
    </w:p>
    <w:p>
      <w:pPr>
        <w:spacing w:line="360" w:lineRule="auto"/>
        <w:ind w:firstLine="440"/>
        <w:rPr>
          <w:rFonts w:hint="eastAsia" w:ascii="仿宋_GB2312" w:hAnsi="仿宋_GB2312" w:eastAsia="仿宋_GB2312" w:cs="仿宋_GB2312"/>
          <w:sz w:val="28"/>
          <w:szCs w:val="28"/>
          <w:shd w:val="clear" w:color="000000" w:fill="FFFFFF"/>
        </w:rPr>
      </w:pPr>
      <w:r>
        <w:rPr>
          <w:rFonts w:hint="eastAsia" w:ascii="仿宋_GB2312" w:hAnsi="仿宋_GB2312" w:eastAsia="仿宋_GB2312" w:cs="仿宋_GB2312"/>
          <w:sz w:val="28"/>
          <w:szCs w:val="28"/>
        </w:rPr>
        <w:t>签订合同后3个月内</w:t>
      </w:r>
      <w:r>
        <w:rPr>
          <w:rFonts w:hint="eastAsia" w:ascii="仿宋_GB2312" w:hAnsi="仿宋_GB2312" w:eastAsia="仿宋_GB2312" w:cs="仿宋_GB2312"/>
          <w:sz w:val="28"/>
          <w:szCs w:val="28"/>
          <w:shd w:val="clear" w:color="000000" w:fill="FFFFFF"/>
        </w:rPr>
        <w:t>将机组设备送货至项目现场，到货后1个月内完成所有安装工程具备负载测试条件。及时配合项目总体要求完成负荷及整个系统的联动试验。</w:t>
      </w:r>
    </w:p>
    <w:p>
      <w:pPr>
        <w:spacing w:line="360" w:lineRule="auto"/>
        <w:ind w:firstLine="440"/>
        <w:rPr>
          <w:rFonts w:hint="eastAsia" w:ascii="仿宋_GB2312" w:hAnsi="仿宋_GB2312" w:eastAsia="仿宋_GB2312" w:cs="仿宋_GB2312"/>
          <w:sz w:val="28"/>
          <w:szCs w:val="28"/>
          <w:shd w:val="clear" w:color="000000" w:fill="FFFFFF"/>
        </w:rPr>
      </w:pPr>
    </w:p>
    <w:p>
      <w:pPr>
        <w:pStyle w:val="2"/>
        <w:numPr>
          <w:ilvl w:val="0"/>
          <w:numId w:val="6"/>
        </w:numPr>
        <w:tabs>
          <w:tab w:val="left" w:pos="360"/>
        </w:tabs>
        <w:spacing w:line="360" w:lineRule="auto"/>
        <w:ind w:left="360" w:hanging="360"/>
        <w:rPr>
          <w:rFonts w:hint="eastAsia" w:ascii="仿宋_GB2312" w:hAnsi="仿宋_GB2312" w:eastAsia="仿宋_GB2312" w:cs="仿宋_GB2312"/>
          <w:b/>
          <w:szCs w:val="28"/>
        </w:rPr>
      </w:pPr>
      <w:r>
        <w:rPr>
          <w:rFonts w:hint="eastAsia" w:ascii="仿宋_GB2312" w:hAnsi="仿宋_GB2312" w:eastAsia="仿宋_GB2312" w:cs="仿宋_GB2312"/>
          <w:b/>
          <w:szCs w:val="28"/>
        </w:rPr>
        <w:t>付款条件：</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到货并收到发票后30日内支付合同总价的70%；通过买方及其委托的第三方测试验收后或货到后9个月后（以先到为准），支付合同总价的30%。</w:t>
      </w:r>
    </w:p>
    <w:p>
      <w:pPr>
        <w:rPr>
          <w:rFonts w:hint="eastAsia" w:ascii="仿宋_GB2312" w:hAnsi="仿宋_GB2312" w:eastAsia="仿宋_GB2312" w:cs="仿宋_GB2312"/>
          <w:snapToGrid w:val="0"/>
          <w:sz w:val="28"/>
          <w:szCs w:val="28"/>
        </w:rPr>
      </w:pPr>
    </w:p>
    <w:p>
      <w:pPr>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六、项目地点及相关图纸。</w:t>
      </w:r>
    </w:p>
    <w:p>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项目地点：江苏省常熟市海虞镇人民路和迎宾路路口。</w:t>
      </w:r>
    </w:p>
    <w:p>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相关设计图纸请向技术联系人索取。</w:t>
      </w:r>
    </w:p>
    <w:p>
      <w:pPr>
        <w:rPr>
          <w:rFonts w:hint="eastAsia" w:ascii="仿宋_GB2312" w:hAnsi="仿宋_GB2312" w:eastAsia="仿宋_GB2312" w:cs="仿宋_GB2312"/>
          <w:snapToGrid w:val="0"/>
          <w:sz w:val="28"/>
          <w:szCs w:val="28"/>
        </w:rPr>
      </w:pPr>
    </w:p>
    <w:p>
      <w:pPr>
        <w:rPr>
          <w:rFonts w:hint="eastAsia" w:ascii="仿宋_GB2312" w:hAnsi="仿宋_GB2312" w:eastAsia="仿宋_GB2312" w:cs="仿宋_GB2312"/>
          <w:snapToGrid w:val="0"/>
          <w:sz w:val="28"/>
          <w:szCs w:val="28"/>
        </w:rPr>
      </w:pPr>
    </w:p>
    <w:p>
      <w:pPr>
        <w:rPr>
          <w:rFonts w:hint="eastAsia" w:ascii="仿宋_GB2312" w:hAnsi="仿宋_GB2312" w:eastAsia="仿宋_GB2312" w:cs="仿宋_GB2312"/>
          <w:snapToGrid w:val="0"/>
          <w:sz w:val="28"/>
          <w:szCs w:val="28"/>
        </w:rPr>
      </w:pPr>
    </w:p>
    <w:p>
      <w:pPr>
        <w:rPr>
          <w:rFonts w:hint="eastAsia" w:ascii="仿宋_GB2312" w:hAnsi="仿宋_GB2312" w:eastAsia="仿宋_GB2312" w:cs="仿宋_GB2312"/>
          <w:snapToGrid w:val="0"/>
          <w:sz w:val="28"/>
          <w:szCs w:val="28"/>
        </w:rPr>
      </w:pPr>
    </w:p>
    <w:p>
      <w:pPr>
        <w:rPr>
          <w:rFonts w:hint="eastAsia" w:ascii="仿宋_GB2312" w:hAnsi="仿宋_GB2312" w:eastAsia="仿宋_GB2312" w:cs="仿宋_GB2312"/>
          <w:snapToGrid w:val="0"/>
          <w:sz w:val="28"/>
          <w:szCs w:val="28"/>
        </w:rPr>
      </w:pPr>
    </w:p>
    <w:p>
      <w:pPr>
        <w:pStyle w:val="2"/>
        <w:spacing w:after="240"/>
        <w:jc w:val="center"/>
        <w:rPr>
          <w:rFonts w:hint="eastAsia" w:ascii="仿宋_GB2312" w:hAnsi="仿宋_GB2312" w:eastAsia="仿宋_GB2312" w:cs="仿宋_GB2312"/>
        </w:rPr>
      </w:pPr>
      <w:r>
        <w:rPr>
          <w:rFonts w:hint="eastAsia" w:ascii="仿宋_GB2312" w:hAnsi="仿宋_GB2312" w:eastAsia="仿宋_GB2312" w:cs="仿宋_GB2312"/>
          <w:b/>
          <w:snapToGrid w:val="0"/>
          <w:szCs w:val="28"/>
        </w:rPr>
        <w:t>第三部分   招标说明</w:t>
      </w:r>
    </w:p>
    <w:p>
      <w:pPr>
        <w:pStyle w:val="3"/>
        <w:spacing w:after="0" w:line="240" w:lineRule="auto"/>
        <w:jc w:val="left"/>
        <w:rPr>
          <w:rFonts w:hint="eastAsia" w:ascii="仿宋_GB2312" w:hAnsi="仿宋_GB2312" w:eastAsia="仿宋_GB2312" w:cs="仿宋_GB2312"/>
          <w:b w:val="0"/>
          <w:snapToGrid w:val="0"/>
          <w:sz w:val="28"/>
          <w:szCs w:val="28"/>
        </w:rPr>
      </w:pPr>
      <w:r>
        <w:rPr>
          <w:rFonts w:hint="eastAsia" w:ascii="仿宋_GB2312" w:hAnsi="仿宋_GB2312" w:eastAsia="仿宋_GB2312" w:cs="仿宋_GB2312"/>
          <w:b w:val="0"/>
          <w:snapToGrid w:val="0"/>
          <w:sz w:val="28"/>
          <w:szCs w:val="28"/>
        </w:rPr>
        <w:t>一、总体说明</w:t>
      </w:r>
    </w:p>
    <w:p>
      <w:pPr>
        <w:pStyle w:val="4"/>
        <w:numPr>
          <w:ilvl w:val="0"/>
          <w:numId w:val="33"/>
        </w:numPr>
        <w:spacing w:after="0" w:line="240" w:lineRule="auto"/>
        <w:ind w:left="0" w:firstLine="560" w:firstLineChars="200"/>
        <w:jc w:val="left"/>
        <w:rPr>
          <w:rFonts w:hint="eastAsia" w:ascii="仿宋_GB2312" w:hAnsi="仿宋_GB2312" w:eastAsia="仿宋_GB2312" w:cs="仿宋_GB2312"/>
          <w:b w:val="0"/>
          <w:snapToGrid w:val="0"/>
          <w:sz w:val="28"/>
          <w:szCs w:val="28"/>
        </w:rPr>
      </w:pPr>
      <w:r>
        <w:rPr>
          <w:rFonts w:hint="eastAsia" w:ascii="仿宋_GB2312" w:hAnsi="仿宋_GB2312" w:eastAsia="仿宋_GB2312" w:cs="仿宋_GB2312"/>
          <w:b w:val="0"/>
          <w:snapToGrid w:val="0"/>
          <w:sz w:val="28"/>
          <w:szCs w:val="28"/>
        </w:rPr>
        <w:t>适用范围</w:t>
      </w:r>
    </w:p>
    <w:p>
      <w:pPr>
        <w:autoSpaceDE w:val="0"/>
        <w:autoSpaceDN w:val="0"/>
        <w:adjustRightInd w:val="0"/>
        <w:ind w:firstLine="624"/>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本招标文件仅适用于江苏常熟农村商业银行股份有限公司（以下简称“常熟农商银行”）“</w:t>
      </w:r>
      <w:r>
        <w:rPr>
          <w:rFonts w:hint="eastAsia" w:ascii="仿宋_GB2312" w:hAnsi="仿宋_GB2312" w:eastAsia="仿宋_GB2312" w:cs="仿宋_GB2312"/>
          <w:b/>
          <w:bCs/>
          <w:snapToGrid w:val="0"/>
          <w:sz w:val="28"/>
          <w:szCs w:val="28"/>
          <w:u w:val="single"/>
          <w:lang w:eastAsia="zh-CN"/>
        </w:rPr>
        <w:t>数据中心项目建设-发电机采购</w:t>
      </w:r>
      <w:r>
        <w:rPr>
          <w:rFonts w:hint="eastAsia" w:ascii="仿宋_GB2312" w:hAnsi="仿宋_GB2312" w:eastAsia="仿宋_GB2312" w:cs="仿宋_GB2312"/>
          <w:b/>
          <w:bCs/>
          <w:snapToGrid w:val="0"/>
          <w:sz w:val="28"/>
          <w:szCs w:val="28"/>
        </w:rPr>
        <w:t>”</w:t>
      </w:r>
      <w:r>
        <w:rPr>
          <w:rFonts w:hint="eastAsia" w:ascii="仿宋_GB2312" w:hAnsi="仿宋_GB2312" w:eastAsia="仿宋_GB2312" w:cs="仿宋_GB2312"/>
          <w:snapToGrid w:val="0"/>
          <w:sz w:val="28"/>
          <w:szCs w:val="28"/>
        </w:rPr>
        <w:t>而进行的公开招标。</w:t>
      </w:r>
    </w:p>
    <w:p>
      <w:pPr>
        <w:pStyle w:val="4"/>
        <w:numPr>
          <w:ilvl w:val="0"/>
          <w:numId w:val="33"/>
        </w:numPr>
        <w:spacing w:after="0" w:line="240" w:lineRule="auto"/>
        <w:ind w:left="0" w:firstLine="560" w:firstLineChars="200"/>
        <w:jc w:val="left"/>
        <w:rPr>
          <w:rFonts w:hint="eastAsia" w:ascii="仿宋_GB2312" w:hAnsi="仿宋_GB2312" w:eastAsia="仿宋_GB2312" w:cs="仿宋_GB2312"/>
          <w:b w:val="0"/>
          <w:snapToGrid w:val="0"/>
          <w:sz w:val="28"/>
          <w:szCs w:val="28"/>
        </w:rPr>
      </w:pPr>
      <w:r>
        <w:rPr>
          <w:rFonts w:hint="eastAsia" w:ascii="仿宋_GB2312" w:hAnsi="仿宋_GB2312" w:eastAsia="仿宋_GB2312" w:cs="仿宋_GB2312"/>
          <w:b w:val="0"/>
          <w:snapToGrid w:val="0"/>
          <w:sz w:val="28"/>
          <w:szCs w:val="28"/>
        </w:rPr>
        <w:t>定义</w:t>
      </w:r>
    </w:p>
    <w:p>
      <w:pPr>
        <w:autoSpaceDE w:val="0"/>
        <w:autoSpaceDN w:val="0"/>
        <w:adjustRightInd w:val="0"/>
        <w:ind w:firstLine="624"/>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1.“招标人”系指组织本次招标的招标机构：常熟农商银行。</w:t>
      </w:r>
    </w:p>
    <w:p>
      <w:pPr>
        <w:autoSpaceDE w:val="0"/>
        <w:autoSpaceDN w:val="0"/>
        <w:adjustRightInd w:val="0"/>
        <w:ind w:firstLine="624"/>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2.“投标人”系指遵守招标文件要求并向招标人提交投标文件的法人单位。</w:t>
      </w:r>
    </w:p>
    <w:p>
      <w:pPr>
        <w:autoSpaceDE w:val="0"/>
        <w:autoSpaceDN w:val="0"/>
        <w:adjustRightInd w:val="0"/>
        <w:ind w:firstLine="624"/>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3.“设备（系统）”系指投标人按招标文件规定，须向招标人提供的设备、软件系统、备品备件、工具、手册及其他有关技术资料和材料。</w:t>
      </w:r>
    </w:p>
    <w:p>
      <w:pPr>
        <w:autoSpaceDE w:val="0"/>
        <w:autoSpaceDN w:val="0"/>
        <w:adjustRightInd w:val="0"/>
        <w:ind w:firstLine="624"/>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4.“服务”系指招标文件规定投标人须承担的技术服务、运输、安装调试、人员培训、售后服务和其他类似的义务。</w:t>
      </w:r>
    </w:p>
    <w:p>
      <w:pPr>
        <w:autoSpaceDE w:val="0"/>
        <w:autoSpaceDN w:val="0"/>
        <w:adjustRightInd w:val="0"/>
        <w:ind w:firstLine="624"/>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5.“招标文件”系指本文件及其附件，如招标人对招标文件及其附件进行有效的修改或澄清则该修改和澄清构成招标文件不可分割的一部分。</w:t>
      </w:r>
    </w:p>
    <w:p>
      <w:pPr>
        <w:autoSpaceDE w:val="0"/>
        <w:autoSpaceDN w:val="0"/>
        <w:adjustRightInd w:val="0"/>
        <w:ind w:firstLine="624"/>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pPr>
        <w:autoSpaceDE w:val="0"/>
        <w:autoSpaceDN w:val="0"/>
        <w:adjustRightInd w:val="0"/>
        <w:ind w:firstLine="624"/>
        <w:jc w:val="left"/>
        <w:rPr>
          <w:rFonts w:hint="eastAsia" w:ascii="仿宋_GB2312" w:hAnsi="仿宋_GB2312" w:eastAsia="仿宋_GB2312" w:cs="仿宋_GB2312"/>
          <w:sz w:val="28"/>
          <w:szCs w:val="28"/>
        </w:rPr>
      </w:pPr>
      <w:r>
        <w:rPr>
          <w:rFonts w:hint="eastAsia" w:ascii="仿宋_GB2312" w:hAnsi="仿宋_GB2312" w:eastAsia="仿宋_GB2312" w:cs="仿宋_GB2312"/>
          <w:snapToGrid w:val="0"/>
          <w:sz w:val="28"/>
          <w:szCs w:val="28"/>
        </w:rPr>
        <w:t>7．“</w:t>
      </w:r>
      <w:r>
        <w:rPr>
          <w:rFonts w:hint="eastAsia" w:ascii="仿宋_GB2312" w:hAnsi="仿宋_GB2312" w:eastAsia="仿宋_GB2312" w:cs="仿宋_GB2312"/>
          <w:sz w:val="28"/>
          <w:szCs w:val="28"/>
        </w:rPr>
        <w:t>无效的投标文件”指属于下列情况之一者，将作为无效处理：</w:t>
      </w:r>
    </w:p>
    <w:p>
      <w:pPr>
        <w:numPr>
          <w:ilvl w:val="0"/>
          <w:numId w:val="34"/>
        </w:numPr>
        <w:autoSpaceDE w:val="0"/>
        <w:autoSpaceDN w:val="0"/>
        <w:adjustRightInd w:val="0"/>
        <w:ind w:left="0" w:firstLine="42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投标文件未按招标文件的要求密封；</w:t>
      </w:r>
    </w:p>
    <w:p>
      <w:pPr>
        <w:numPr>
          <w:ilvl w:val="0"/>
          <w:numId w:val="34"/>
        </w:numPr>
        <w:autoSpaceDE w:val="0"/>
        <w:autoSpaceDN w:val="0"/>
        <w:adjustRightInd w:val="0"/>
        <w:ind w:left="0" w:firstLine="42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投标文件未盖公章或未经法定代表人（或授权代理人）签字；</w:t>
      </w:r>
    </w:p>
    <w:p>
      <w:pPr>
        <w:numPr>
          <w:ilvl w:val="0"/>
          <w:numId w:val="34"/>
        </w:numPr>
        <w:autoSpaceDE w:val="0"/>
        <w:autoSpaceDN w:val="0"/>
        <w:adjustRightInd w:val="0"/>
        <w:ind w:left="0" w:firstLine="42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投标文件未按招标文件规定的格式、内容和要求填写；</w:t>
      </w:r>
    </w:p>
    <w:p>
      <w:pPr>
        <w:numPr>
          <w:ilvl w:val="0"/>
          <w:numId w:val="34"/>
        </w:numPr>
        <w:autoSpaceDE w:val="0"/>
        <w:autoSpaceDN w:val="0"/>
        <w:adjustRightInd w:val="0"/>
        <w:ind w:left="0" w:firstLine="42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在投标文件截止期后送达或是通过电报、电话、电传、传真投标文件；</w:t>
      </w:r>
    </w:p>
    <w:p>
      <w:pPr>
        <w:numPr>
          <w:ilvl w:val="0"/>
          <w:numId w:val="34"/>
        </w:numPr>
        <w:autoSpaceDE w:val="0"/>
        <w:autoSpaceDN w:val="0"/>
        <w:adjustRightInd w:val="0"/>
        <w:ind w:left="0" w:firstLine="425"/>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z w:val="28"/>
          <w:szCs w:val="28"/>
        </w:rPr>
        <w:t>投标文件字迹模糊不清无法辨认的；</w:t>
      </w:r>
    </w:p>
    <w:p>
      <w:pPr>
        <w:numPr>
          <w:ilvl w:val="0"/>
          <w:numId w:val="34"/>
        </w:numPr>
        <w:autoSpaceDE w:val="0"/>
        <w:autoSpaceDN w:val="0"/>
        <w:adjustRightInd w:val="0"/>
        <w:ind w:left="0" w:firstLine="425"/>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z w:val="28"/>
          <w:szCs w:val="28"/>
        </w:rPr>
        <w:t>投标人在投标文件中提供虚假信息的；</w:t>
      </w:r>
    </w:p>
    <w:p>
      <w:pPr>
        <w:numPr>
          <w:ilvl w:val="0"/>
          <w:numId w:val="34"/>
        </w:numPr>
        <w:autoSpaceDE w:val="0"/>
        <w:autoSpaceDN w:val="0"/>
        <w:adjustRightInd w:val="0"/>
        <w:ind w:left="0" w:firstLine="425"/>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z w:val="28"/>
          <w:szCs w:val="28"/>
        </w:rPr>
        <w:t>投标文件未送达指定地点，指定接收人。</w:t>
      </w:r>
    </w:p>
    <w:p>
      <w:pPr>
        <w:pStyle w:val="4"/>
        <w:numPr>
          <w:ilvl w:val="0"/>
          <w:numId w:val="33"/>
        </w:numPr>
        <w:spacing w:after="0" w:line="240" w:lineRule="auto"/>
        <w:ind w:left="0" w:firstLine="560" w:firstLineChars="200"/>
        <w:jc w:val="left"/>
        <w:rPr>
          <w:rFonts w:hint="eastAsia" w:ascii="仿宋_GB2312" w:hAnsi="仿宋_GB2312" w:eastAsia="仿宋_GB2312" w:cs="仿宋_GB2312"/>
          <w:b w:val="0"/>
          <w:snapToGrid w:val="0"/>
          <w:sz w:val="28"/>
          <w:szCs w:val="28"/>
        </w:rPr>
      </w:pPr>
      <w:r>
        <w:rPr>
          <w:rFonts w:hint="eastAsia" w:ascii="仿宋_GB2312" w:hAnsi="仿宋_GB2312" w:eastAsia="仿宋_GB2312" w:cs="仿宋_GB2312"/>
          <w:b w:val="0"/>
          <w:snapToGrid w:val="0"/>
          <w:sz w:val="28"/>
          <w:szCs w:val="28"/>
        </w:rPr>
        <w:t>对投标人的要求</w:t>
      </w:r>
    </w:p>
    <w:p>
      <w:pPr>
        <w:numPr>
          <w:ilvl w:val="0"/>
          <w:numId w:val="35"/>
        </w:numPr>
        <w:tabs>
          <w:tab w:val="left" w:pos="0"/>
        </w:tabs>
        <w:ind w:left="0" w:firstLine="560" w:firstLineChars="200"/>
        <w:jc w:val="left"/>
        <w:rPr>
          <w:rFonts w:hint="eastAsia" w:ascii="仿宋_GB2312" w:hAnsi="仿宋_GB2312" w:eastAsia="仿宋_GB2312" w:cs="仿宋_GB2312"/>
          <w:snapToGrid w:val="0"/>
          <w:sz w:val="28"/>
          <w:szCs w:val="28"/>
          <w:u w:val="single"/>
        </w:rPr>
      </w:pPr>
      <w:r>
        <w:rPr>
          <w:rFonts w:hint="eastAsia" w:ascii="仿宋_GB2312" w:hAnsi="仿宋_GB2312" w:eastAsia="仿宋_GB2312" w:cs="仿宋_GB2312"/>
          <w:snapToGrid w:val="0"/>
          <w:sz w:val="28"/>
          <w:szCs w:val="28"/>
        </w:rPr>
        <w:t>投标方必须为具有独立企业法人资格，具有合法名称、组织机构、固定的办公场所，注册资金不少于3</w:t>
      </w:r>
      <w:r>
        <w:rPr>
          <w:rFonts w:hint="eastAsia" w:ascii="仿宋_GB2312" w:hAnsi="仿宋_GB2312" w:eastAsia="仿宋_GB2312" w:cs="仿宋_GB2312"/>
          <w:snapToGrid w:val="0"/>
          <w:sz w:val="28"/>
          <w:szCs w:val="28"/>
          <w:u w:val="single"/>
        </w:rPr>
        <w:t>000万</w:t>
      </w:r>
      <w:r>
        <w:rPr>
          <w:rFonts w:hint="eastAsia" w:ascii="仿宋_GB2312" w:hAnsi="仿宋_GB2312" w:eastAsia="仿宋_GB2312" w:cs="仿宋_GB2312"/>
          <w:snapToGrid w:val="0"/>
          <w:sz w:val="28"/>
          <w:szCs w:val="28"/>
        </w:rPr>
        <w:t>元人民币（或等值外币）。注册时间不少于</w:t>
      </w:r>
      <w:r>
        <w:rPr>
          <w:rFonts w:hint="eastAsia" w:ascii="仿宋_GB2312" w:hAnsi="仿宋_GB2312" w:eastAsia="仿宋_GB2312" w:cs="仿宋_GB2312"/>
          <w:snapToGrid w:val="0"/>
          <w:sz w:val="28"/>
          <w:szCs w:val="28"/>
          <w:u w:val="single"/>
        </w:rPr>
        <w:t>3</w:t>
      </w:r>
      <w:r>
        <w:rPr>
          <w:rFonts w:hint="eastAsia" w:ascii="仿宋_GB2312" w:hAnsi="仿宋_GB2312" w:eastAsia="仿宋_GB2312" w:cs="仿宋_GB2312"/>
          <w:snapToGrid w:val="0"/>
          <w:sz w:val="28"/>
          <w:szCs w:val="28"/>
        </w:rPr>
        <w:t>年，具有良好的自有技术团队、商业信誉和售后服务体系。</w:t>
      </w:r>
    </w:p>
    <w:p>
      <w:pPr>
        <w:numPr>
          <w:ilvl w:val="0"/>
          <w:numId w:val="35"/>
        </w:numPr>
        <w:tabs>
          <w:tab w:val="left" w:pos="0"/>
        </w:tabs>
        <w:ind w:left="0" w:firstLine="560" w:firstLineChars="200"/>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投标方公司注册地在江浙沪地区，或在此区域内有正式分支机构。</w:t>
      </w:r>
    </w:p>
    <w:p>
      <w:pPr>
        <w:numPr>
          <w:ilvl w:val="0"/>
          <w:numId w:val="35"/>
        </w:numPr>
        <w:tabs>
          <w:tab w:val="left" w:pos="0"/>
        </w:tabs>
        <w:ind w:left="0" w:firstLine="560" w:firstLineChars="200"/>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投标方需是本次投标的发电机组产品的生产厂商或者具备该生产厂商对投标方本次投标的授权函和产品三年原厂保修期限的确认函（投标书中提交原厂盖章原件备验），投标方即为生产厂商则可以免提交此授权。</w:t>
      </w:r>
    </w:p>
    <w:p>
      <w:pPr>
        <w:numPr>
          <w:ilvl w:val="0"/>
          <w:numId w:val="35"/>
        </w:numPr>
        <w:tabs>
          <w:tab w:val="left" w:pos="0"/>
        </w:tabs>
        <w:ind w:left="0" w:firstLine="560" w:firstLineChars="200"/>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投标方应具备3个及以上单台1800KW及以上的数据中心发电机组项目实施案例（提交不少于三个相应销售合同扫描件备审）。</w:t>
      </w:r>
    </w:p>
    <w:p>
      <w:pPr>
        <w:numPr>
          <w:ilvl w:val="0"/>
          <w:numId w:val="35"/>
        </w:numPr>
        <w:tabs>
          <w:tab w:val="left" w:pos="0"/>
        </w:tabs>
        <w:ind w:left="0" w:firstLine="560" w:firstLineChars="200"/>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投标方应具备3年以上发电机项目实施经验（提交2019年6月30日以前签署的3个发电机组项目合同扫描件备审）。</w:t>
      </w:r>
    </w:p>
    <w:p>
      <w:pPr>
        <w:numPr>
          <w:ilvl w:val="0"/>
          <w:numId w:val="35"/>
        </w:numPr>
        <w:tabs>
          <w:tab w:val="left" w:pos="0"/>
        </w:tabs>
        <w:ind w:left="0" w:firstLine="560" w:firstLineChars="200"/>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投标人必须具有良好的经济和技术实力，能够按时提交招标人要求的交付件，并能够及时地提供招标人要求的优质服务。</w:t>
      </w:r>
    </w:p>
    <w:p>
      <w:pPr>
        <w:numPr>
          <w:ilvl w:val="0"/>
          <w:numId w:val="35"/>
        </w:numPr>
        <w:tabs>
          <w:tab w:val="left" w:pos="0"/>
        </w:tabs>
        <w:ind w:left="0" w:firstLine="560" w:firstLineChars="200"/>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投标人必须具有良好的银行资信和商业信誉，没有违法、违约记录，不处于被责令停业，财产被接管、冻结、破产等非正常经营状态。</w:t>
      </w:r>
    </w:p>
    <w:p>
      <w:pPr>
        <w:numPr>
          <w:ilvl w:val="0"/>
          <w:numId w:val="35"/>
        </w:numPr>
        <w:tabs>
          <w:tab w:val="left" w:pos="0"/>
        </w:tabs>
        <w:ind w:left="0" w:firstLine="560" w:firstLineChars="200"/>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投标人不得联合第三方共同投标，否则取消投标资格；且不允许中标后将本招标进行分包、转包。</w:t>
      </w:r>
    </w:p>
    <w:p>
      <w:pPr>
        <w:numPr>
          <w:ilvl w:val="0"/>
          <w:numId w:val="35"/>
        </w:numPr>
        <w:tabs>
          <w:tab w:val="left" w:pos="0"/>
        </w:tabs>
        <w:ind w:left="0" w:firstLine="560" w:firstLineChars="200"/>
        <w:jc w:val="left"/>
        <w:rPr>
          <w:rFonts w:hint="eastAsia" w:ascii="仿宋_GB2312" w:hAnsi="仿宋_GB2312" w:eastAsia="仿宋_GB2312" w:cs="仿宋_GB2312"/>
          <w:snapToGrid w:val="0"/>
          <w:sz w:val="28"/>
          <w:szCs w:val="28"/>
          <w:u w:val="single"/>
        </w:rPr>
      </w:pPr>
      <w:r>
        <w:rPr>
          <w:rFonts w:hint="eastAsia" w:ascii="仿宋_GB2312" w:hAnsi="仿宋_GB2312" w:eastAsia="仿宋_GB2312" w:cs="仿宋_GB2312"/>
          <w:snapToGrid w:val="0"/>
          <w:sz w:val="28"/>
          <w:szCs w:val="28"/>
          <w:u w:val="single"/>
        </w:rPr>
        <w:t>由于服务商原因，造成无法在规定时间内修复设备清单内所列软硬件，造成常熟农商银行正常业务开展受到影响的情况。常熟农商银行拥有直接向其它公司寻求紧急维修服务的权利，由此产生的相关费用由服务商承担，并保留向服务商追究其它相关经济损失的权利。</w:t>
      </w:r>
    </w:p>
    <w:p>
      <w:pPr>
        <w:pStyle w:val="4"/>
        <w:numPr>
          <w:ilvl w:val="0"/>
          <w:numId w:val="33"/>
        </w:numPr>
        <w:spacing w:after="0" w:line="240" w:lineRule="auto"/>
        <w:ind w:left="0" w:firstLine="560" w:firstLineChars="200"/>
        <w:jc w:val="left"/>
        <w:rPr>
          <w:rFonts w:hint="eastAsia" w:ascii="仿宋_GB2312" w:hAnsi="仿宋_GB2312" w:eastAsia="仿宋_GB2312" w:cs="仿宋_GB2312"/>
          <w:b w:val="0"/>
          <w:snapToGrid w:val="0"/>
          <w:sz w:val="28"/>
          <w:szCs w:val="28"/>
        </w:rPr>
      </w:pPr>
      <w:r>
        <w:rPr>
          <w:rFonts w:hint="eastAsia" w:ascii="仿宋_GB2312" w:hAnsi="仿宋_GB2312" w:eastAsia="仿宋_GB2312" w:cs="仿宋_GB2312"/>
          <w:b w:val="0"/>
          <w:snapToGrid w:val="0"/>
          <w:sz w:val="28"/>
          <w:szCs w:val="28"/>
        </w:rPr>
        <w:t>投标费用</w:t>
      </w:r>
    </w:p>
    <w:p>
      <w:pPr>
        <w:autoSpaceDE w:val="0"/>
        <w:autoSpaceDN w:val="0"/>
        <w:adjustRightInd w:val="0"/>
        <w:ind w:firstLine="624"/>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投标人应自行承担与参加投标有关的全部费用，招标人在任何情况下无义务和责任承担上述费用。</w:t>
      </w:r>
    </w:p>
    <w:p>
      <w:pPr>
        <w:pStyle w:val="4"/>
        <w:numPr>
          <w:ilvl w:val="0"/>
          <w:numId w:val="33"/>
        </w:numPr>
        <w:spacing w:after="0" w:line="240" w:lineRule="auto"/>
        <w:ind w:left="0" w:firstLine="560" w:firstLineChars="200"/>
        <w:jc w:val="left"/>
        <w:rPr>
          <w:rFonts w:hint="eastAsia" w:ascii="仿宋_GB2312" w:hAnsi="仿宋_GB2312" w:eastAsia="仿宋_GB2312" w:cs="仿宋_GB2312"/>
          <w:b w:val="0"/>
          <w:snapToGrid w:val="0"/>
          <w:sz w:val="28"/>
          <w:szCs w:val="28"/>
        </w:rPr>
      </w:pPr>
      <w:r>
        <w:rPr>
          <w:rFonts w:hint="eastAsia" w:ascii="仿宋_GB2312" w:hAnsi="仿宋_GB2312" w:eastAsia="仿宋_GB2312" w:cs="仿宋_GB2312"/>
          <w:b w:val="0"/>
          <w:snapToGrid w:val="0"/>
          <w:sz w:val="28"/>
          <w:szCs w:val="28"/>
        </w:rPr>
        <w:t>招标文件的解释及咨询</w:t>
      </w:r>
    </w:p>
    <w:p>
      <w:pPr>
        <w:autoSpaceDE w:val="0"/>
        <w:autoSpaceDN w:val="0"/>
        <w:adjustRightIn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napToGrid w:val="0"/>
          <w:sz w:val="28"/>
          <w:szCs w:val="28"/>
        </w:rPr>
        <w:t>本招标文件的解释权属招标人。</w:t>
      </w:r>
      <w:r>
        <w:rPr>
          <w:rFonts w:hint="eastAsia" w:ascii="仿宋_GB2312" w:hAnsi="仿宋_GB2312" w:eastAsia="仿宋_GB2312" w:cs="仿宋_GB2312"/>
          <w:sz w:val="28"/>
          <w:szCs w:val="28"/>
        </w:rPr>
        <w:t>对本次招标有任何询问，请与常熟农商银行本次招标联系人联系。</w:t>
      </w:r>
    </w:p>
    <w:p>
      <w:pPr>
        <w:pStyle w:val="3"/>
        <w:spacing w:after="0" w:line="240" w:lineRule="auto"/>
        <w:jc w:val="left"/>
        <w:rPr>
          <w:rFonts w:hint="eastAsia" w:ascii="仿宋_GB2312" w:hAnsi="仿宋_GB2312" w:eastAsia="仿宋_GB2312" w:cs="仿宋_GB2312"/>
          <w:b w:val="0"/>
          <w:snapToGrid w:val="0"/>
          <w:sz w:val="28"/>
          <w:szCs w:val="28"/>
        </w:rPr>
      </w:pPr>
      <w:r>
        <w:rPr>
          <w:rFonts w:hint="eastAsia" w:ascii="仿宋_GB2312" w:hAnsi="仿宋_GB2312" w:eastAsia="仿宋_GB2312" w:cs="仿宋_GB2312"/>
          <w:b w:val="0"/>
          <w:snapToGrid w:val="0"/>
          <w:sz w:val="28"/>
          <w:szCs w:val="28"/>
        </w:rPr>
        <w:t>二、投标文件说明</w:t>
      </w:r>
    </w:p>
    <w:p>
      <w:pPr>
        <w:pStyle w:val="4"/>
        <w:spacing w:after="0" w:line="240" w:lineRule="auto"/>
        <w:ind w:firstLine="560" w:firstLineChars="200"/>
        <w:jc w:val="left"/>
        <w:rPr>
          <w:rFonts w:hint="eastAsia" w:ascii="仿宋_GB2312" w:hAnsi="仿宋_GB2312" w:eastAsia="仿宋_GB2312" w:cs="仿宋_GB2312"/>
          <w:b w:val="0"/>
          <w:snapToGrid w:val="0"/>
          <w:sz w:val="28"/>
          <w:szCs w:val="28"/>
        </w:rPr>
      </w:pPr>
      <w:r>
        <w:rPr>
          <w:rFonts w:hint="eastAsia" w:ascii="仿宋_GB2312" w:hAnsi="仿宋_GB2312" w:eastAsia="仿宋_GB2312" w:cs="仿宋_GB2312"/>
          <w:b w:val="0"/>
          <w:snapToGrid w:val="0"/>
          <w:sz w:val="28"/>
          <w:szCs w:val="28"/>
        </w:rPr>
        <w:t>（一）要求</w:t>
      </w:r>
    </w:p>
    <w:p>
      <w:pPr>
        <w:autoSpaceDE w:val="0"/>
        <w:autoSpaceDN w:val="0"/>
        <w:adjustRightInd w:val="0"/>
        <w:ind w:firstLine="624"/>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1.投标人应仔细阅读招标文件的所有内容，按招标文件的要求提供投标文件，并保证所提供的全部资料的真实性，以使其投标对招标文件作出实质性响应，否则，其投标可能被拒绝。</w:t>
      </w:r>
    </w:p>
    <w:p>
      <w:pPr>
        <w:autoSpaceDE w:val="0"/>
        <w:autoSpaceDN w:val="0"/>
        <w:adjustRightInd w:val="0"/>
        <w:ind w:firstLine="624"/>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2.除非有特殊要求，招标文件不单独提供招标设备（系统）或服务使用地的自然环境、气候条件、公用设施等情况，投标人被视为熟悉上述情况。</w:t>
      </w:r>
    </w:p>
    <w:p>
      <w:pPr>
        <w:pStyle w:val="4"/>
        <w:spacing w:after="0" w:line="240" w:lineRule="auto"/>
        <w:ind w:firstLine="560" w:firstLineChars="200"/>
        <w:jc w:val="left"/>
        <w:rPr>
          <w:rFonts w:hint="eastAsia" w:ascii="仿宋_GB2312" w:hAnsi="仿宋_GB2312" w:eastAsia="仿宋_GB2312" w:cs="仿宋_GB2312"/>
          <w:b w:val="0"/>
          <w:snapToGrid w:val="0"/>
          <w:sz w:val="28"/>
          <w:szCs w:val="28"/>
        </w:rPr>
      </w:pPr>
      <w:r>
        <w:rPr>
          <w:rFonts w:hint="eastAsia" w:ascii="仿宋_GB2312" w:hAnsi="仿宋_GB2312" w:eastAsia="仿宋_GB2312" w:cs="仿宋_GB2312"/>
          <w:b w:val="0"/>
          <w:snapToGrid w:val="0"/>
          <w:sz w:val="28"/>
          <w:szCs w:val="28"/>
        </w:rPr>
        <w:t>（二）投标文件的组成</w:t>
      </w:r>
    </w:p>
    <w:p>
      <w:pPr>
        <w:autoSpaceDE w:val="0"/>
        <w:autoSpaceDN w:val="0"/>
        <w:adjustRightInd w:val="0"/>
        <w:ind w:firstLine="624"/>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投标文件应包括但不限于下列所选文件：</w:t>
      </w:r>
    </w:p>
    <w:p>
      <w:pPr>
        <w:numPr>
          <w:ilvl w:val="0"/>
          <w:numId w:val="36"/>
        </w:numPr>
        <w:autoSpaceDE w:val="0"/>
        <w:autoSpaceDN w:val="0"/>
        <w:adjustRightInd w:val="0"/>
        <w:ind w:left="0" w:firstLine="425"/>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法定代表人身份证明或法定代表人授权委托书（</w:t>
      </w:r>
      <w:r>
        <w:rPr>
          <w:rFonts w:hint="eastAsia" w:ascii="仿宋_GB2312" w:hAnsi="仿宋_GB2312" w:eastAsia="仿宋_GB2312" w:cs="仿宋_GB2312"/>
          <w:sz w:val="28"/>
          <w:szCs w:val="28"/>
        </w:rPr>
        <w:t>法定代表人参加投标，不用此委托书）</w:t>
      </w:r>
    </w:p>
    <w:p>
      <w:pPr>
        <w:numPr>
          <w:ilvl w:val="0"/>
          <w:numId w:val="36"/>
        </w:numPr>
        <w:autoSpaceDE w:val="0"/>
        <w:autoSpaceDN w:val="0"/>
        <w:adjustRightInd w:val="0"/>
        <w:ind w:left="0" w:firstLine="425"/>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投标书</w:t>
      </w:r>
    </w:p>
    <w:p>
      <w:pPr>
        <w:autoSpaceDE w:val="0"/>
        <w:autoSpaceDN w:val="0"/>
        <w:adjustRightInd w:val="0"/>
        <w:ind w:firstLine="624"/>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必须按照本招标文件第四部分附件的格式要求制作，未经招标人书面同意，该格式不允许作任何修改。</w:t>
      </w:r>
    </w:p>
    <w:p>
      <w:pPr>
        <w:numPr>
          <w:ilvl w:val="0"/>
          <w:numId w:val="36"/>
        </w:numPr>
        <w:autoSpaceDE w:val="0"/>
        <w:autoSpaceDN w:val="0"/>
        <w:adjustRightInd w:val="0"/>
        <w:ind w:left="0" w:firstLine="425"/>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投标价格一览表</w:t>
      </w:r>
    </w:p>
    <w:p>
      <w:pPr>
        <w:autoSpaceDE w:val="0"/>
        <w:autoSpaceDN w:val="0"/>
        <w:adjustRightInd w:val="0"/>
        <w:ind w:firstLine="624"/>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应包括投标报价、维护承诺、其他重要补充事项等内容。</w:t>
      </w:r>
    </w:p>
    <w:p>
      <w:pPr>
        <w:numPr>
          <w:ilvl w:val="0"/>
          <w:numId w:val="36"/>
        </w:numPr>
        <w:autoSpaceDE w:val="0"/>
        <w:autoSpaceDN w:val="0"/>
        <w:adjustRightInd w:val="0"/>
        <w:ind w:left="0" w:firstLine="425"/>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服务内容描述</w:t>
      </w:r>
    </w:p>
    <w:p>
      <w:pPr>
        <w:autoSpaceDE w:val="0"/>
        <w:autoSpaceDN w:val="0"/>
        <w:adjustRightInd w:val="0"/>
        <w:ind w:firstLine="624"/>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投标人必须对“第二部分 项目需求”逐个或分块地作出实质性响应，其响应应与招标文件内容采用相同的顺序，对每个需求的响应必须遵循如下规则：（1）重复该需求；（2）用“是/否”来表明该需求是否被满足；（3）简要描述如何满足该需求，如果该响应在投标文件其他部分有详述，可在该处简单应答，但必须给出确切的位置索引；（描述投标产品对应的自身技术参数、指标等情况，并给出相应证明文件及证明文件所在页码）（4）解释投标文件或投标方案与招标项目需求之间的偏差，用数量来表示的需求，必须用确切的数量单位来响应。</w:t>
      </w:r>
    </w:p>
    <w:p>
      <w:pPr>
        <w:numPr>
          <w:ilvl w:val="0"/>
          <w:numId w:val="36"/>
        </w:numPr>
        <w:autoSpaceDE w:val="0"/>
        <w:autoSpaceDN w:val="0"/>
        <w:adjustRightInd w:val="0"/>
        <w:ind w:left="0" w:firstLine="425"/>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项目实施计划</w:t>
      </w:r>
    </w:p>
    <w:p>
      <w:pPr>
        <w:autoSpaceDE w:val="0"/>
        <w:autoSpaceDN w:val="0"/>
        <w:adjustRightInd w:val="0"/>
        <w:ind w:firstLine="624"/>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应根据对项目需求的理解，提出详细、切实可行的项目实施计划及方案。</w:t>
      </w:r>
    </w:p>
    <w:p>
      <w:pPr>
        <w:numPr>
          <w:ilvl w:val="0"/>
          <w:numId w:val="36"/>
        </w:numPr>
        <w:autoSpaceDE w:val="0"/>
        <w:autoSpaceDN w:val="0"/>
        <w:adjustRightInd w:val="0"/>
        <w:ind w:left="0" w:firstLine="425"/>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售后服务计划</w:t>
      </w:r>
    </w:p>
    <w:p>
      <w:pPr>
        <w:autoSpaceDE w:val="0"/>
        <w:autoSpaceDN w:val="0"/>
        <w:adjustRightInd w:val="0"/>
        <w:ind w:firstLine="624"/>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应说明售后服务的内容、形式、收费标准；维护单位名称、地点、人员；服务响应时间等，并应包含免费维护期及期外的售后服务计划。</w:t>
      </w:r>
    </w:p>
    <w:p>
      <w:pPr>
        <w:numPr>
          <w:ilvl w:val="0"/>
          <w:numId w:val="36"/>
        </w:numPr>
        <w:autoSpaceDE w:val="0"/>
        <w:autoSpaceDN w:val="0"/>
        <w:adjustRightInd w:val="0"/>
        <w:ind w:left="0" w:firstLine="425"/>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投标人情况简介（详见本招标文件第四部分附件的格式要求。）</w:t>
      </w:r>
    </w:p>
    <w:p>
      <w:pPr>
        <w:autoSpaceDE w:val="0"/>
        <w:autoSpaceDN w:val="0"/>
        <w:adjustRightInd w:val="0"/>
        <w:ind w:firstLine="624"/>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应包含投标人基本情况与背景资料、业务经营情况、最近五年类似相关项目实施情况（详见附件2第6点要求）、及投标人最新的经过审计的财务报表、相关内控制度及连续性方案等。</w:t>
      </w:r>
    </w:p>
    <w:p>
      <w:pPr>
        <w:numPr>
          <w:ilvl w:val="0"/>
          <w:numId w:val="36"/>
        </w:numPr>
        <w:autoSpaceDE w:val="0"/>
        <w:autoSpaceDN w:val="0"/>
        <w:adjustRightInd w:val="0"/>
        <w:ind w:left="0" w:firstLine="425"/>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投标人资格证明文件</w:t>
      </w:r>
    </w:p>
    <w:p>
      <w:pPr>
        <w:autoSpaceDE w:val="0"/>
        <w:autoSpaceDN w:val="0"/>
        <w:adjustRightInd w:val="0"/>
        <w:ind w:firstLine="624"/>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包括（1）投标人营业执照复印件；（2）若分公司参加投标的，需总公司的正式授权书（即签订合同只与有法人资格的公司签订）。（3）本章节“一、总体说明--（三）对投标人的要求”中各相关要求对应的证明文件。</w:t>
      </w:r>
    </w:p>
    <w:p>
      <w:pPr>
        <w:autoSpaceDE w:val="0"/>
        <w:autoSpaceDN w:val="0"/>
        <w:adjustRightInd w:val="0"/>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 xml:space="preserve">   9. 外包服务供应商风险信息表（见附件5）</w:t>
      </w:r>
    </w:p>
    <w:p>
      <w:pPr>
        <w:autoSpaceDE w:val="0"/>
        <w:autoSpaceDN w:val="0"/>
        <w:adjustRightInd w:val="0"/>
        <w:ind w:firstLine="624"/>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说明：根据监管要求，防范外包风险，投标人需如实提供表格要求的相关内容。</w:t>
      </w:r>
    </w:p>
    <w:p>
      <w:pPr>
        <w:autoSpaceDE w:val="0"/>
        <w:autoSpaceDN w:val="0"/>
        <w:adjustRightInd w:val="0"/>
        <w:ind w:left="425"/>
        <w:jc w:val="left"/>
        <w:rPr>
          <w:rFonts w:hint="eastAsia" w:ascii="仿宋_GB2312" w:hAnsi="仿宋_GB2312" w:eastAsia="仿宋_GB2312" w:cs="仿宋_GB2312"/>
          <w:snapToGrid w:val="0"/>
          <w:sz w:val="28"/>
          <w:szCs w:val="28"/>
        </w:rPr>
      </w:pPr>
    </w:p>
    <w:p>
      <w:pPr>
        <w:autoSpaceDE w:val="0"/>
        <w:autoSpaceDN w:val="0"/>
        <w:adjustRightInd w:val="0"/>
        <w:ind w:left="425"/>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10. 其他</w:t>
      </w:r>
    </w:p>
    <w:p>
      <w:pPr>
        <w:autoSpaceDE w:val="0"/>
        <w:autoSpaceDN w:val="0"/>
        <w:adjustRightInd w:val="0"/>
        <w:ind w:firstLine="624"/>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（1）投标人自愿提供的其他全部文件；（2）优惠条款的说明等。</w:t>
      </w:r>
    </w:p>
    <w:p>
      <w:pPr>
        <w:pStyle w:val="4"/>
        <w:spacing w:after="0" w:line="240" w:lineRule="auto"/>
        <w:ind w:firstLine="560" w:firstLineChars="200"/>
        <w:jc w:val="left"/>
        <w:rPr>
          <w:rFonts w:hint="eastAsia" w:ascii="仿宋_GB2312" w:hAnsi="仿宋_GB2312" w:eastAsia="仿宋_GB2312" w:cs="仿宋_GB2312"/>
          <w:b w:val="0"/>
          <w:snapToGrid w:val="0"/>
          <w:sz w:val="28"/>
          <w:szCs w:val="28"/>
        </w:rPr>
      </w:pPr>
      <w:r>
        <w:rPr>
          <w:rFonts w:hint="eastAsia" w:ascii="仿宋_GB2312" w:hAnsi="仿宋_GB2312" w:eastAsia="仿宋_GB2312" w:cs="仿宋_GB2312"/>
          <w:b w:val="0"/>
          <w:snapToGrid w:val="0"/>
          <w:sz w:val="28"/>
          <w:szCs w:val="28"/>
        </w:rPr>
        <w:t>（三）投标文件的签署及规定</w:t>
      </w:r>
    </w:p>
    <w:p>
      <w:pPr>
        <w:autoSpaceDE w:val="0"/>
        <w:autoSpaceDN w:val="0"/>
        <w:adjustRightInd w:val="0"/>
        <w:ind w:firstLine="624"/>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1.投标人应准备一份正本，两份副本，一份电子文档。在每一份投标文件上要明确注明“正本”或“副本”字样，若正本和副本有差异以正本为准。</w:t>
      </w:r>
    </w:p>
    <w:p>
      <w:pPr>
        <w:autoSpaceDE w:val="0"/>
        <w:autoSpaceDN w:val="0"/>
        <w:adjustRightInd w:val="0"/>
        <w:ind w:firstLine="624"/>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2.投标文件正本和副本须统一用A4纸打印装订并由投标人法定代表人或授权代理人在正本封面上签章处签字并加盖公章、骑缝章。</w:t>
      </w:r>
    </w:p>
    <w:p>
      <w:pPr>
        <w:autoSpaceDE w:val="0"/>
        <w:autoSpaceDN w:val="0"/>
        <w:adjustRightInd w:val="0"/>
        <w:ind w:firstLine="624"/>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3.除投标人对错漏处作必要修改外，投标文件中不许有加行、涂抹或改写。如有修改错漏处，必须由投标人法定代表人或授权代理人签字并加盖公章。</w:t>
      </w:r>
    </w:p>
    <w:p>
      <w:pPr>
        <w:pStyle w:val="3"/>
        <w:spacing w:after="0" w:line="240" w:lineRule="auto"/>
        <w:jc w:val="left"/>
        <w:rPr>
          <w:rFonts w:hint="eastAsia" w:ascii="仿宋_GB2312" w:hAnsi="仿宋_GB2312" w:eastAsia="仿宋_GB2312" w:cs="仿宋_GB2312"/>
          <w:b w:val="0"/>
          <w:snapToGrid w:val="0"/>
          <w:sz w:val="28"/>
          <w:szCs w:val="28"/>
        </w:rPr>
      </w:pPr>
      <w:r>
        <w:rPr>
          <w:rFonts w:hint="eastAsia" w:ascii="仿宋_GB2312" w:hAnsi="仿宋_GB2312" w:eastAsia="仿宋_GB2312" w:cs="仿宋_GB2312"/>
          <w:b w:val="0"/>
          <w:snapToGrid w:val="0"/>
          <w:sz w:val="28"/>
          <w:szCs w:val="28"/>
        </w:rPr>
        <w:t>三、投标文件的递交</w:t>
      </w:r>
    </w:p>
    <w:p>
      <w:pPr>
        <w:pStyle w:val="4"/>
        <w:spacing w:after="0" w:line="240" w:lineRule="auto"/>
        <w:ind w:firstLine="560" w:firstLineChars="200"/>
        <w:jc w:val="left"/>
        <w:rPr>
          <w:rFonts w:hint="eastAsia" w:ascii="仿宋_GB2312" w:hAnsi="仿宋_GB2312" w:eastAsia="仿宋_GB2312" w:cs="仿宋_GB2312"/>
          <w:b w:val="0"/>
          <w:snapToGrid w:val="0"/>
          <w:sz w:val="28"/>
          <w:szCs w:val="28"/>
        </w:rPr>
      </w:pPr>
      <w:r>
        <w:rPr>
          <w:rFonts w:hint="eastAsia" w:ascii="仿宋_GB2312" w:hAnsi="仿宋_GB2312" w:eastAsia="仿宋_GB2312" w:cs="仿宋_GB2312"/>
          <w:b w:val="0"/>
          <w:snapToGrid w:val="0"/>
          <w:sz w:val="28"/>
          <w:szCs w:val="28"/>
        </w:rPr>
        <w:t>（一）投标文件的密封和递交</w:t>
      </w:r>
    </w:p>
    <w:p>
      <w:pPr>
        <w:numPr>
          <w:ilvl w:val="0"/>
          <w:numId w:val="37"/>
        </w:numPr>
        <w:autoSpaceDE w:val="0"/>
        <w:autoSpaceDN w:val="0"/>
        <w:adjustRightInd w:val="0"/>
        <w:ind w:left="0" w:firstLine="425"/>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投标人应将投标文件的正本和副本分别用非透明文件袋密封，在封签处加盖公章，并标明投标人名称、正本或副本、</w:t>
      </w:r>
      <w:r>
        <w:rPr>
          <w:rFonts w:hint="eastAsia" w:ascii="仿宋_GB2312" w:hAnsi="仿宋_GB2312" w:eastAsia="仿宋_GB2312" w:cs="仿宋_GB2312"/>
          <w:sz w:val="28"/>
          <w:szCs w:val="28"/>
        </w:rPr>
        <w:t>招标编号、投标产品名称</w:t>
      </w:r>
      <w:r>
        <w:rPr>
          <w:rFonts w:hint="eastAsia" w:ascii="仿宋_GB2312" w:hAnsi="仿宋_GB2312" w:eastAsia="仿宋_GB2312" w:cs="仿宋_GB2312"/>
          <w:snapToGrid w:val="0"/>
          <w:sz w:val="28"/>
          <w:szCs w:val="28"/>
        </w:rPr>
        <w:t>。</w:t>
      </w:r>
    </w:p>
    <w:p>
      <w:pPr>
        <w:numPr>
          <w:ilvl w:val="0"/>
          <w:numId w:val="37"/>
        </w:numPr>
        <w:autoSpaceDE w:val="0"/>
        <w:autoSpaceDN w:val="0"/>
        <w:adjustRightInd w:val="0"/>
        <w:ind w:left="0" w:firstLine="425"/>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每一密封信封上注明“于开标前不准启封”的字样。</w:t>
      </w:r>
    </w:p>
    <w:p>
      <w:pPr>
        <w:numPr>
          <w:ilvl w:val="0"/>
          <w:numId w:val="37"/>
        </w:numPr>
        <w:autoSpaceDE w:val="0"/>
        <w:autoSpaceDN w:val="0"/>
        <w:adjustRightInd w:val="0"/>
        <w:ind w:left="0" w:firstLine="425"/>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投标价格表及其它各种承诺均须有法定代表人（或其委托的全权代表人）的签字、日期并加盖公章。</w:t>
      </w:r>
    </w:p>
    <w:p>
      <w:pPr>
        <w:numPr>
          <w:ilvl w:val="0"/>
          <w:numId w:val="37"/>
        </w:numPr>
        <w:autoSpaceDE w:val="0"/>
        <w:autoSpaceDN w:val="0"/>
        <w:adjustRightInd w:val="0"/>
        <w:ind w:left="0" w:firstLine="425"/>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投标文件须标注页码：封面后的第一页为标书的目录，整本标书须标注统一的页码，成功案例合同等复印件可以手工填上统一的页码。</w:t>
      </w:r>
    </w:p>
    <w:p>
      <w:pPr>
        <w:pStyle w:val="4"/>
        <w:spacing w:after="0" w:line="240" w:lineRule="auto"/>
        <w:ind w:firstLine="560" w:firstLineChars="200"/>
        <w:jc w:val="left"/>
        <w:rPr>
          <w:rFonts w:hint="eastAsia" w:ascii="仿宋_GB2312" w:hAnsi="仿宋_GB2312" w:eastAsia="仿宋_GB2312" w:cs="仿宋_GB2312"/>
          <w:b w:val="0"/>
          <w:snapToGrid w:val="0"/>
          <w:sz w:val="28"/>
          <w:szCs w:val="28"/>
        </w:rPr>
      </w:pPr>
      <w:r>
        <w:rPr>
          <w:rFonts w:hint="eastAsia" w:ascii="仿宋_GB2312" w:hAnsi="仿宋_GB2312" w:eastAsia="仿宋_GB2312" w:cs="仿宋_GB2312"/>
          <w:b w:val="0"/>
          <w:snapToGrid w:val="0"/>
          <w:sz w:val="28"/>
          <w:szCs w:val="28"/>
        </w:rPr>
        <w:t>（二）投标文件的修改和撤回</w:t>
      </w:r>
    </w:p>
    <w:p>
      <w:pPr>
        <w:numPr>
          <w:ilvl w:val="0"/>
          <w:numId w:val="38"/>
        </w:numPr>
        <w:autoSpaceDE w:val="0"/>
        <w:autoSpaceDN w:val="0"/>
        <w:adjustRightInd w:val="0"/>
        <w:ind w:left="0" w:firstLine="425"/>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投标人在提交投标文件后可对其投标文件进行补充、修改或撤回，但招标人须在投标截止时间之前收到该补充、修改或撤回的书面通知，该通知须经投标人的法定代表人或授权代理人签字并加盖公章。</w:t>
      </w:r>
    </w:p>
    <w:p>
      <w:pPr>
        <w:numPr>
          <w:ilvl w:val="0"/>
          <w:numId w:val="38"/>
        </w:numPr>
        <w:autoSpaceDE w:val="0"/>
        <w:autoSpaceDN w:val="0"/>
        <w:adjustRightInd w:val="0"/>
        <w:ind w:left="0" w:firstLine="425"/>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投标人对投标文件进行补充、修改的书面材料或撤回的通知应按本招标文件规定进行编写、密封、标注和递送，并注明“补充/修改投标文件”或“撤回投标”字样。</w:t>
      </w:r>
    </w:p>
    <w:p>
      <w:pPr>
        <w:numPr>
          <w:ilvl w:val="0"/>
          <w:numId w:val="38"/>
        </w:numPr>
        <w:autoSpaceDE w:val="0"/>
        <w:autoSpaceDN w:val="0"/>
        <w:adjustRightInd w:val="0"/>
        <w:ind w:left="0" w:firstLine="425"/>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投标截止时间以后不得对投标文件进行修改或补充。</w:t>
      </w:r>
    </w:p>
    <w:p>
      <w:pPr>
        <w:pStyle w:val="3"/>
        <w:spacing w:after="0" w:line="240" w:lineRule="auto"/>
        <w:jc w:val="left"/>
        <w:rPr>
          <w:rFonts w:hint="eastAsia" w:ascii="仿宋_GB2312" w:hAnsi="仿宋_GB2312" w:eastAsia="仿宋_GB2312" w:cs="仿宋_GB2312"/>
          <w:b w:val="0"/>
          <w:bCs w:val="0"/>
          <w:snapToGrid w:val="0"/>
          <w:sz w:val="28"/>
          <w:szCs w:val="28"/>
        </w:rPr>
      </w:pPr>
      <w:r>
        <w:rPr>
          <w:rFonts w:hint="eastAsia" w:ascii="仿宋_GB2312" w:hAnsi="仿宋_GB2312" w:eastAsia="仿宋_GB2312" w:cs="仿宋_GB2312"/>
          <w:b w:val="0"/>
          <w:bCs w:val="0"/>
          <w:snapToGrid w:val="0"/>
          <w:sz w:val="28"/>
          <w:szCs w:val="28"/>
        </w:rPr>
        <w:t>四、投标保证金</w:t>
      </w:r>
    </w:p>
    <w:p>
      <w:pPr>
        <w:numPr>
          <w:ilvl w:val="0"/>
          <w:numId w:val="39"/>
        </w:numPr>
        <w:autoSpaceDE w:val="0"/>
        <w:autoSpaceDN w:val="0"/>
        <w:adjustRightInd w:val="0"/>
        <w:ind w:firstLine="560" w:firstLineChars="200"/>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投标人须按规定交纳投标保证金:</w:t>
      </w:r>
    </w:p>
    <w:p>
      <w:pPr>
        <w:autoSpaceDE w:val="0"/>
        <w:autoSpaceDN w:val="0"/>
        <w:adjustRightInd w:val="0"/>
        <w:ind w:left="420" w:firstLine="420"/>
        <w:jc w:val="left"/>
        <w:rPr>
          <w:rFonts w:hint="eastAsia" w:ascii="仿宋_GB2312" w:hAnsi="仿宋_GB2312" w:eastAsia="仿宋_GB2312" w:cs="仿宋_GB2312"/>
          <w:snapToGrid w:val="0"/>
          <w:color w:val="FF0000"/>
          <w:sz w:val="28"/>
          <w:szCs w:val="28"/>
        </w:rPr>
      </w:pPr>
      <w:r>
        <w:rPr>
          <w:rFonts w:hint="eastAsia" w:ascii="仿宋_GB2312" w:hAnsi="仿宋_GB2312" w:eastAsia="仿宋_GB2312" w:cs="仿宋_GB2312"/>
          <w:snapToGrid w:val="0"/>
          <w:color w:val="FF0000"/>
          <w:sz w:val="28"/>
          <w:szCs w:val="28"/>
        </w:rPr>
        <w:t>人民币</w:t>
      </w:r>
      <w:r>
        <w:rPr>
          <w:rFonts w:hint="eastAsia" w:ascii="仿宋_GB2312" w:hAnsi="仿宋_GB2312" w:eastAsia="仿宋_GB2312" w:cs="仿宋_GB2312"/>
          <w:snapToGrid w:val="0"/>
          <w:color w:val="FF0000"/>
          <w:sz w:val="28"/>
          <w:szCs w:val="28"/>
          <w:lang w:val="en-US" w:eastAsia="zh-CN"/>
        </w:rPr>
        <w:t>贰拾万</w:t>
      </w:r>
      <w:r>
        <w:rPr>
          <w:rFonts w:hint="eastAsia" w:ascii="仿宋_GB2312" w:hAnsi="仿宋_GB2312" w:eastAsia="仿宋_GB2312" w:cs="仿宋_GB2312"/>
          <w:snapToGrid w:val="0"/>
          <w:color w:val="FF0000"/>
          <w:sz w:val="28"/>
          <w:szCs w:val="28"/>
        </w:rPr>
        <w:t>元</w:t>
      </w:r>
      <w:r>
        <w:rPr>
          <w:rFonts w:hint="eastAsia" w:ascii="仿宋_GB2312" w:hAnsi="仿宋_GB2312" w:eastAsia="仿宋_GB2312" w:cs="仿宋_GB2312"/>
          <w:snapToGrid w:val="0"/>
          <w:color w:val="FF0000"/>
          <w:sz w:val="28"/>
          <w:szCs w:val="28"/>
          <w:u w:val="single"/>
        </w:rPr>
        <w:t>整</w:t>
      </w:r>
      <w:r>
        <w:rPr>
          <w:rFonts w:hint="eastAsia" w:ascii="仿宋_GB2312" w:hAnsi="仿宋_GB2312" w:eastAsia="仿宋_GB2312" w:cs="仿宋_GB2312"/>
          <w:snapToGrid w:val="0"/>
          <w:color w:val="FF0000"/>
          <w:sz w:val="28"/>
          <w:szCs w:val="28"/>
        </w:rPr>
        <w:t>;</w:t>
      </w:r>
    </w:p>
    <w:p>
      <w:pPr>
        <w:numPr>
          <w:ilvl w:val="0"/>
          <w:numId w:val="39"/>
        </w:numPr>
        <w:autoSpaceDE w:val="0"/>
        <w:autoSpaceDN w:val="0"/>
        <w:adjustRightInd w:val="0"/>
        <w:ind w:firstLine="560" w:firstLineChars="200"/>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投标保证金必须在投标截止时间前提交。投标人未按招标文件规定提交投标保证金的投标文件，招标人恕不接受其投标文件,投标无效。</w:t>
      </w:r>
    </w:p>
    <w:p>
      <w:pPr>
        <w:numPr>
          <w:ilvl w:val="0"/>
          <w:numId w:val="39"/>
        </w:numPr>
        <w:autoSpaceDE w:val="0"/>
        <w:autoSpaceDN w:val="0"/>
        <w:adjustRightInd w:val="0"/>
        <w:ind w:firstLine="560" w:firstLineChars="200"/>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投标保证金可以使用电汇、网上银行转帐的形式提交并写明投标编号</w:t>
      </w:r>
      <w:r>
        <w:rPr>
          <w:rFonts w:hint="default" w:ascii="仿宋_GB2312" w:hAnsi="仿宋_GB2312" w:eastAsia="仿宋_GB2312" w:cs="仿宋_GB2312"/>
          <w:snapToGrid w:val="0"/>
          <w:sz w:val="28"/>
          <w:szCs w:val="28"/>
          <w:lang w:val="en-US"/>
        </w:rPr>
        <w:t>(</w:t>
      </w:r>
      <w:r>
        <w:rPr>
          <w:rFonts w:hint="eastAsia" w:ascii="仿宋_GB2312" w:hAnsi="仿宋_GB2312" w:eastAsia="仿宋_GB2312" w:cs="仿宋_GB2312"/>
          <w:snapToGrid w:val="0"/>
          <w:sz w:val="28"/>
          <w:szCs w:val="28"/>
        </w:rPr>
        <w:t>及标段</w:t>
      </w:r>
      <w:r>
        <w:rPr>
          <w:rFonts w:hint="default" w:ascii="仿宋_GB2312" w:hAnsi="仿宋_GB2312" w:eastAsia="仿宋_GB2312" w:cs="仿宋_GB2312"/>
          <w:snapToGrid w:val="0"/>
          <w:sz w:val="28"/>
          <w:szCs w:val="28"/>
          <w:lang w:val="en-US"/>
        </w:rPr>
        <w:t>)</w:t>
      </w:r>
      <w:r>
        <w:rPr>
          <w:rFonts w:hint="eastAsia" w:ascii="仿宋_GB2312" w:hAnsi="仿宋_GB2312" w:eastAsia="仿宋_GB2312" w:cs="仿宋_GB2312"/>
          <w:snapToGrid w:val="0"/>
          <w:sz w:val="28"/>
          <w:szCs w:val="28"/>
        </w:rPr>
        <w:t>、联系方式，以便招标人核对查实。</w:t>
      </w:r>
    </w:p>
    <w:p>
      <w:pPr>
        <w:autoSpaceDE w:val="0"/>
        <w:autoSpaceDN w:val="0"/>
        <w:adjustRightInd w:val="0"/>
        <w:ind w:left="420" w:firstLine="420"/>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户名：江苏常熟农村商业银行股份有限公司（投标保证金）</w:t>
      </w:r>
    </w:p>
    <w:p>
      <w:pPr>
        <w:autoSpaceDE w:val="0"/>
        <w:autoSpaceDN w:val="0"/>
        <w:adjustRightInd w:val="0"/>
        <w:ind w:left="420" w:firstLine="420"/>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账号：101290001022913950</w:t>
      </w:r>
    </w:p>
    <w:p>
      <w:pPr>
        <w:autoSpaceDE w:val="0"/>
        <w:autoSpaceDN w:val="0"/>
        <w:adjustRightInd w:val="0"/>
        <w:ind w:left="420" w:firstLine="420"/>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开户行：常熟农商银行营业部</w:t>
      </w:r>
    </w:p>
    <w:p>
      <w:pPr>
        <w:autoSpaceDE w:val="0"/>
        <w:autoSpaceDN w:val="0"/>
        <w:adjustRightInd w:val="0"/>
        <w:ind w:left="420" w:firstLine="420"/>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受理地点：江苏省常熟市新世纪大道58号</w:t>
      </w:r>
    </w:p>
    <w:p>
      <w:pPr>
        <w:autoSpaceDE w:val="0"/>
        <w:autoSpaceDN w:val="0"/>
        <w:adjustRightInd w:val="0"/>
        <w:ind w:left="420" w:firstLine="420"/>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受理时间：法定工作日9:00～16:00</w:t>
      </w:r>
    </w:p>
    <w:p>
      <w:pPr>
        <w:autoSpaceDE w:val="0"/>
        <w:autoSpaceDN w:val="0"/>
        <w:adjustRightInd w:val="0"/>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投标保证金交纳时间以投标保证金专用账户实际收到的时间为准。投标保证金的有效期应为在投标有效期满后28天内继续有效。</w:t>
      </w:r>
    </w:p>
    <w:p>
      <w:pPr>
        <w:autoSpaceDE w:val="0"/>
        <w:autoSpaceDN w:val="0"/>
        <w:adjustRightInd w:val="0"/>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（友情提示：为确保投标保证金能按时到帐，请各投标人按要求提前将投标保证金汇入专用账户内，以免造成投标无效。</w:t>
      </w:r>
      <w:r>
        <w:rPr>
          <w:rFonts w:hint="eastAsia" w:ascii="仿宋_GB2312" w:hAnsi="仿宋_GB2312" w:eastAsia="仿宋_GB2312" w:cs="仿宋_GB2312"/>
          <w:b w:val="0"/>
          <w:bCs w:val="0"/>
          <w:snapToGrid w:val="0"/>
          <w:sz w:val="28"/>
          <w:szCs w:val="28"/>
          <w:u w:val="single"/>
          <w:lang w:val="en-US" w:eastAsia="zh-CN"/>
        </w:rPr>
        <w:t>户名请严格按照上述填写</w:t>
      </w:r>
      <w:r>
        <w:rPr>
          <w:rFonts w:hint="eastAsia" w:ascii="仿宋_GB2312" w:hAnsi="仿宋_GB2312" w:eastAsia="仿宋_GB2312" w:cs="仿宋_GB2312"/>
          <w:snapToGrid w:val="0"/>
          <w:sz w:val="28"/>
          <w:szCs w:val="28"/>
          <w:lang w:val="en-US" w:eastAsia="zh-CN"/>
        </w:rPr>
        <w:t>，</w:t>
      </w:r>
      <w:r>
        <w:rPr>
          <w:rFonts w:hint="eastAsia" w:ascii="仿宋_GB2312" w:hAnsi="仿宋_GB2312" w:eastAsia="仿宋_GB2312" w:cs="仿宋_GB2312"/>
          <w:snapToGrid w:val="0"/>
          <w:sz w:val="28"/>
          <w:szCs w:val="28"/>
        </w:rPr>
        <w:t>投标保证金到账查询电话：0512-52739210）</w:t>
      </w:r>
    </w:p>
    <w:p>
      <w:pPr>
        <w:numPr>
          <w:ilvl w:val="0"/>
          <w:numId w:val="39"/>
        </w:numPr>
        <w:autoSpaceDE w:val="0"/>
        <w:autoSpaceDN w:val="0"/>
        <w:adjustRightInd w:val="0"/>
        <w:ind w:firstLine="560" w:firstLineChars="200"/>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不同投标人的投标保证金从同一单位或者个人的账户转出的，其投标文件无效。</w:t>
      </w:r>
    </w:p>
    <w:p>
      <w:pPr>
        <w:numPr>
          <w:ilvl w:val="0"/>
          <w:numId w:val="39"/>
        </w:numPr>
        <w:autoSpaceDE w:val="0"/>
        <w:autoSpaceDN w:val="0"/>
        <w:adjustRightInd w:val="0"/>
        <w:ind w:firstLine="560" w:firstLineChars="200"/>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如投标人在投标截止期后撤回投标，则投标保证金将作为违约金不予退还。</w:t>
      </w:r>
    </w:p>
    <w:p>
      <w:pPr>
        <w:numPr>
          <w:ilvl w:val="0"/>
          <w:numId w:val="39"/>
        </w:numPr>
        <w:autoSpaceDE w:val="0"/>
        <w:autoSpaceDN w:val="0"/>
        <w:adjustRightInd w:val="0"/>
        <w:ind w:firstLine="560" w:firstLineChars="200"/>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投标人在投标过程中违反有关法律法规及招标文件规定，有下列情形之一的，其投标保证金不予退还，并按有关规定处理：</w:t>
      </w:r>
    </w:p>
    <w:p>
      <w:pPr>
        <w:autoSpaceDE w:val="0"/>
        <w:autoSpaceDN w:val="0"/>
        <w:adjustRightInd w:val="0"/>
        <w:ind w:left="420" w:leftChars="200"/>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（1）中标人在收到中标通知书后，无法定正当理由拒签合同协议书或未按招标文件规定提交履约保证金;</w:t>
      </w:r>
    </w:p>
    <w:p>
      <w:pPr>
        <w:autoSpaceDE w:val="0"/>
        <w:autoSpaceDN w:val="0"/>
        <w:adjustRightInd w:val="0"/>
        <w:ind w:left="420" w:leftChars="200"/>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（2）中标人的违法行为导致中标被依法确认无效的;</w:t>
      </w:r>
    </w:p>
    <w:p>
      <w:pPr>
        <w:autoSpaceDE w:val="0"/>
        <w:autoSpaceDN w:val="0"/>
        <w:adjustRightInd w:val="0"/>
        <w:ind w:left="420" w:leftChars="200"/>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（3）投标人在投标有效期内撤销或修改其投标文件;</w:t>
      </w:r>
    </w:p>
    <w:p>
      <w:pPr>
        <w:autoSpaceDE w:val="0"/>
        <w:autoSpaceDN w:val="0"/>
        <w:adjustRightInd w:val="0"/>
        <w:ind w:left="420" w:leftChars="200"/>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（4）其它违法违规行为，经查情况属实的。</w:t>
      </w:r>
    </w:p>
    <w:p>
      <w:pPr>
        <w:autoSpaceDE w:val="0"/>
        <w:autoSpaceDN w:val="0"/>
        <w:adjustRightInd w:val="0"/>
        <w:ind w:firstLine="560" w:firstLineChars="200"/>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7.非中标候选人，在中标公示期结束后10个工作日内，可办理投标保证金的无息退还。</w:t>
      </w:r>
    </w:p>
    <w:p>
      <w:pPr>
        <w:autoSpaceDE w:val="0"/>
        <w:autoSpaceDN w:val="0"/>
        <w:adjustRightInd w:val="0"/>
        <w:ind w:firstLine="560" w:firstLineChars="200"/>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8.中标人收到中标通知书，并提交履约保证金后，可办理投标保证金的无息退还。</w:t>
      </w:r>
    </w:p>
    <w:p>
      <w:pPr>
        <w:pStyle w:val="3"/>
        <w:spacing w:after="0" w:line="240" w:lineRule="auto"/>
        <w:jc w:val="left"/>
        <w:rPr>
          <w:rFonts w:hint="eastAsia" w:ascii="仿宋_GB2312" w:hAnsi="仿宋_GB2312" w:eastAsia="仿宋_GB2312" w:cs="仿宋_GB2312"/>
          <w:b w:val="0"/>
          <w:bCs w:val="0"/>
          <w:snapToGrid w:val="0"/>
          <w:sz w:val="28"/>
          <w:szCs w:val="28"/>
        </w:rPr>
      </w:pPr>
      <w:r>
        <w:rPr>
          <w:rFonts w:hint="eastAsia" w:ascii="仿宋_GB2312" w:hAnsi="仿宋_GB2312" w:eastAsia="仿宋_GB2312" w:cs="仿宋_GB2312"/>
          <w:b w:val="0"/>
          <w:bCs w:val="0"/>
          <w:snapToGrid w:val="0"/>
          <w:sz w:val="28"/>
          <w:szCs w:val="28"/>
        </w:rPr>
        <w:t>五、开标和评标</w:t>
      </w:r>
    </w:p>
    <w:p>
      <w:pPr>
        <w:pStyle w:val="4"/>
        <w:spacing w:after="0" w:line="240" w:lineRule="auto"/>
        <w:ind w:firstLine="560" w:firstLineChars="200"/>
        <w:jc w:val="left"/>
        <w:rPr>
          <w:rFonts w:hint="eastAsia" w:ascii="仿宋_GB2312" w:hAnsi="仿宋_GB2312" w:eastAsia="仿宋_GB2312" w:cs="仿宋_GB2312"/>
          <w:b w:val="0"/>
          <w:snapToGrid w:val="0"/>
          <w:sz w:val="28"/>
          <w:szCs w:val="28"/>
        </w:rPr>
      </w:pPr>
      <w:r>
        <w:rPr>
          <w:rFonts w:hint="eastAsia" w:ascii="仿宋_GB2312" w:hAnsi="仿宋_GB2312" w:eastAsia="仿宋_GB2312" w:cs="仿宋_GB2312"/>
          <w:b w:val="0"/>
          <w:snapToGrid w:val="0"/>
          <w:sz w:val="28"/>
          <w:szCs w:val="28"/>
        </w:rPr>
        <w:t>（一）开标</w:t>
      </w:r>
    </w:p>
    <w:p>
      <w:pPr>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此次招标采用以下方式：</w:t>
      </w:r>
    </w:p>
    <w:p>
      <w:pPr>
        <w:numPr>
          <w:ilvl w:val="0"/>
          <w:numId w:val="40"/>
        </w:numPr>
        <w:autoSpaceDE w:val="0"/>
        <w:autoSpaceDN w:val="0"/>
        <w:adjustRightInd w:val="0"/>
        <w:ind w:left="0" w:firstLine="420"/>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招标人对本次招标不进行现场开标。</w:t>
      </w:r>
    </w:p>
    <w:p>
      <w:pPr>
        <w:pStyle w:val="4"/>
        <w:spacing w:after="0" w:line="240" w:lineRule="auto"/>
        <w:ind w:firstLine="560" w:firstLineChars="200"/>
        <w:jc w:val="left"/>
        <w:rPr>
          <w:rFonts w:hint="eastAsia" w:ascii="仿宋_GB2312" w:hAnsi="仿宋_GB2312" w:eastAsia="仿宋_GB2312" w:cs="仿宋_GB2312"/>
          <w:b w:val="0"/>
          <w:snapToGrid w:val="0"/>
          <w:sz w:val="28"/>
          <w:szCs w:val="28"/>
        </w:rPr>
      </w:pPr>
      <w:r>
        <w:rPr>
          <w:rFonts w:hint="eastAsia" w:ascii="仿宋_GB2312" w:hAnsi="仿宋_GB2312" w:eastAsia="仿宋_GB2312" w:cs="仿宋_GB2312"/>
          <w:b w:val="0"/>
          <w:snapToGrid w:val="0"/>
          <w:sz w:val="28"/>
          <w:szCs w:val="28"/>
        </w:rPr>
        <w:t>（二）评标因素</w:t>
      </w:r>
    </w:p>
    <w:p>
      <w:pPr>
        <w:numPr>
          <w:ilvl w:val="0"/>
          <w:numId w:val="41"/>
        </w:numPr>
        <w:autoSpaceDE w:val="0"/>
        <w:autoSpaceDN w:val="0"/>
        <w:adjustRightInd w:val="0"/>
        <w:ind w:left="0"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招标人根据具体招标项目分类对每一个投标条件进行比较。对其内容进行分析比较：</w:t>
      </w:r>
    </w:p>
    <w:p>
      <w:pPr>
        <w:numPr>
          <w:ilvl w:val="0"/>
          <w:numId w:val="42"/>
        </w:numPr>
        <w:tabs>
          <w:tab w:val="left" w:pos="8280"/>
        </w:tabs>
        <w:ind w:left="1265" w:right="-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投标价格；</w:t>
      </w:r>
    </w:p>
    <w:p>
      <w:pPr>
        <w:numPr>
          <w:ilvl w:val="0"/>
          <w:numId w:val="42"/>
        </w:numPr>
        <w:tabs>
          <w:tab w:val="left" w:pos="8280"/>
        </w:tabs>
        <w:ind w:left="1265" w:right="-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投标方产品整体实力及成功案例总数；</w:t>
      </w:r>
    </w:p>
    <w:p>
      <w:pPr>
        <w:numPr>
          <w:ilvl w:val="0"/>
          <w:numId w:val="42"/>
        </w:numPr>
        <w:tabs>
          <w:tab w:val="left" w:pos="8280"/>
        </w:tabs>
        <w:ind w:left="1265" w:right="-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投标方技术方案、成功案例分析及产品</w:t>
      </w:r>
      <w:r>
        <w:rPr>
          <w:rFonts w:hint="eastAsia" w:ascii="仿宋_GB2312" w:hAnsi="仿宋_GB2312" w:eastAsia="仿宋_GB2312" w:cs="仿宋_GB2312"/>
          <w:snapToGrid w:val="0"/>
          <w:sz w:val="28"/>
          <w:szCs w:val="28"/>
        </w:rPr>
        <w:t>特制</w:t>
      </w:r>
      <w:r>
        <w:rPr>
          <w:rFonts w:hint="eastAsia" w:ascii="仿宋_GB2312" w:hAnsi="仿宋_GB2312" w:eastAsia="仿宋_GB2312" w:cs="仿宋_GB2312"/>
          <w:sz w:val="28"/>
          <w:szCs w:val="28"/>
        </w:rPr>
        <w:t>设计；</w:t>
      </w:r>
    </w:p>
    <w:p>
      <w:pPr>
        <w:numPr>
          <w:ilvl w:val="0"/>
          <w:numId w:val="42"/>
        </w:numPr>
        <w:tabs>
          <w:tab w:val="left" w:pos="8280"/>
        </w:tabs>
        <w:ind w:left="1265" w:right="-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投标方技术实力（研发人员、售后服务能力）；</w:t>
      </w:r>
    </w:p>
    <w:p>
      <w:pPr>
        <w:numPr>
          <w:ilvl w:val="0"/>
          <w:numId w:val="42"/>
        </w:numPr>
        <w:tabs>
          <w:tab w:val="left" w:pos="8280"/>
        </w:tabs>
        <w:ind w:left="1265" w:right="-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投标方的资信情况和履约能力；</w:t>
      </w:r>
    </w:p>
    <w:p>
      <w:pPr>
        <w:numPr>
          <w:ilvl w:val="0"/>
          <w:numId w:val="42"/>
        </w:numPr>
        <w:tabs>
          <w:tab w:val="left" w:pos="8280"/>
        </w:tabs>
        <w:ind w:left="1265" w:right="-1"/>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投标方提供的其他优惠条件。</w:t>
      </w:r>
    </w:p>
    <w:p>
      <w:pPr>
        <w:pStyle w:val="4"/>
        <w:spacing w:after="0" w:line="240" w:lineRule="auto"/>
        <w:ind w:firstLine="560" w:firstLineChars="200"/>
        <w:jc w:val="left"/>
        <w:rPr>
          <w:rFonts w:hint="eastAsia" w:ascii="仿宋_GB2312" w:hAnsi="仿宋_GB2312" w:eastAsia="仿宋_GB2312" w:cs="仿宋_GB2312"/>
          <w:b w:val="0"/>
          <w:snapToGrid w:val="0"/>
          <w:sz w:val="28"/>
          <w:szCs w:val="28"/>
        </w:rPr>
      </w:pPr>
      <w:r>
        <w:rPr>
          <w:rFonts w:hint="eastAsia" w:ascii="仿宋_GB2312" w:hAnsi="仿宋_GB2312" w:eastAsia="仿宋_GB2312" w:cs="仿宋_GB2312"/>
          <w:b w:val="0"/>
          <w:snapToGrid w:val="0"/>
          <w:sz w:val="28"/>
          <w:szCs w:val="28"/>
        </w:rPr>
        <w:t>（三）投标文件的审查</w:t>
      </w:r>
    </w:p>
    <w:p>
      <w:pPr>
        <w:autoSpaceDE w:val="0"/>
        <w:autoSpaceDN w:val="0"/>
        <w:adjustRightInd w:val="0"/>
        <w:ind w:firstLine="624"/>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l.开标后，招标人将组织审查投标文件是否完整，是否有计算错误，文件是否恰当地签署。</w:t>
      </w:r>
    </w:p>
    <w:p>
      <w:pPr>
        <w:autoSpaceDE w:val="0"/>
        <w:autoSpaceDN w:val="0"/>
        <w:adjustRightInd w:val="0"/>
        <w:ind w:firstLine="624"/>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2.在对投标文件进行详细评估之前，招标人将依据投标人提供的资格证明文件审查投标人的财务、技术和生产能力。如果确定投标人无能力提供设备（系统）和技术支持，其投标将被拒绝。</w:t>
      </w:r>
    </w:p>
    <w:p>
      <w:pPr>
        <w:autoSpaceDE w:val="0"/>
        <w:autoSpaceDN w:val="0"/>
        <w:adjustRightInd w:val="0"/>
        <w:ind w:firstLine="624"/>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3.招标人将确定每一投标是否对招标文件的要求作出了实质性的响应，而没有明显的偏离或保留。</w:t>
      </w:r>
    </w:p>
    <w:p>
      <w:pPr>
        <w:autoSpaceDE w:val="0"/>
        <w:autoSpaceDN w:val="0"/>
        <w:adjustRightInd w:val="0"/>
        <w:ind w:firstLine="624"/>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4.招标人判断投标文件的响应性仅基于投标文件本身而不靠外部证据。</w:t>
      </w:r>
    </w:p>
    <w:p>
      <w:pPr>
        <w:autoSpaceDE w:val="0"/>
        <w:autoSpaceDN w:val="0"/>
        <w:adjustRightInd w:val="0"/>
        <w:ind w:firstLine="624"/>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5.招标人将拒绝被确定为非实质性响应的投标，投标人不能通过修正或撤销不符之处而使其投标成为实质性响应的投标。</w:t>
      </w:r>
    </w:p>
    <w:p>
      <w:pPr>
        <w:pStyle w:val="4"/>
        <w:spacing w:after="0" w:line="240" w:lineRule="auto"/>
        <w:ind w:firstLine="560" w:firstLineChars="200"/>
        <w:jc w:val="left"/>
        <w:rPr>
          <w:rFonts w:hint="eastAsia" w:ascii="仿宋_GB2312" w:hAnsi="仿宋_GB2312" w:eastAsia="仿宋_GB2312" w:cs="仿宋_GB2312"/>
          <w:b w:val="0"/>
          <w:snapToGrid w:val="0"/>
          <w:sz w:val="28"/>
          <w:szCs w:val="28"/>
        </w:rPr>
      </w:pPr>
      <w:r>
        <w:rPr>
          <w:rFonts w:hint="eastAsia" w:ascii="仿宋_GB2312" w:hAnsi="仿宋_GB2312" w:eastAsia="仿宋_GB2312" w:cs="仿宋_GB2312"/>
          <w:b w:val="0"/>
          <w:snapToGrid w:val="0"/>
          <w:sz w:val="28"/>
          <w:szCs w:val="28"/>
        </w:rPr>
        <w:t>（四）投标文件的澄清</w:t>
      </w:r>
    </w:p>
    <w:p>
      <w:pPr>
        <w:numPr>
          <w:ilvl w:val="0"/>
          <w:numId w:val="43"/>
        </w:numPr>
        <w:autoSpaceDE w:val="0"/>
        <w:autoSpaceDN w:val="0"/>
        <w:adjustRightInd w:val="0"/>
        <w:ind w:left="0" w:firstLine="425"/>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pPr>
        <w:numPr>
          <w:ilvl w:val="0"/>
          <w:numId w:val="43"/>
        </w:numPr>
        <w:autoSpaceDE w:val="0"/>
        <w:autoSpaceDN w:val="0"/>
        <w:adjustRightInd w:val="0"/>
        <w:ind w:left="0" w:firstLine="425"/>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澄清应是书面的，并由法定代表人或其授权代理人签字。</w:t>
      </w:r>
    </w:p>
    <w:p>
      <w:pPr>
        <w:numPr>
          <w:ilvl w:val="0"/>
          <w:numId w:val="43"/>
        </w:numPr>
        <w:autoSpaceDE w:val="0"/>
        <w:autoSpaceDN w:val="0"/>
        <w:adjustRightInd w:val="0"/>
        <w:ind w:left="0" w:firstLine="425"/>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投标人的澄清文件是投标文件的组成部分，并取代投标文件中被澄清的部分。</w:t>
      </w:r>
    </w:p>
    <w:p>
      <w:pPr>
        <w:numPr>
          <w:ilvl w:val="0"/>
          <w:numId w:val="43"/>
        </w:numPr>
        <w:autoSpaceDE w:val="0"/>
        <w:autoSpaceDN w:val="0"/>
        <w:adjustRightInd w:val="0"/>
        <w:ind w:left="0" w:firstLine="425"/>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投标文件的澄清不得对投标内容进行实质性修改。</w:t>
      </w:r>
    </w:p>
    <w:p>
      <w:pPr>
        <w:pStyle w:val="4"/>
        <w:spacing w:after="0" w:line="240" w:lineRule="auto"/>
        <w:ind w:firstLine="560" w:firstLineChars="200"/>
        <w:jc w:val="left"/>
        <w:rPr>
          <w:rFonts w:hint="eastAsia" w:ascii="仿宋_GB2312" w:hAnsi="仿宋_GB2312" w:eastAsia="仿宋_GB2312" w:cs="仿宋_GB2312"/>
          <w:b w:val="0"/>
          <w:snapToGrid w:val="0"/>
          <w:sz w:val="28"/>
          <w:szCs w:val="28"/>
        </w:rPr>
      </w:pPr>
      <w:r>
        <w:rPr>
          <w:rFonts w:hint="eastAsia" w:ascii="仿宋_GB2312" w:hAnsi="仿宋_GB2312" w:eastAsia="仿宋_GB2312" w:cs="仿宋_GB2312"/>
          <w:b w:val="0"/>
          <w:snapToGrid w:val="0"/>
          <w:sz w:val="28"/>
          <w:szCs w:val="28"/>
        </w:rPr>
        <w:t>（五）评标工作</w:t>
      </w:r>
    </w:p>
    <w:p>
      <w:pPr>
        <w:numPr>
          <w:ilvl w:val="0"/>
          <w:numId w:val="44"/>
        </w:numPr>
        <w:autoSpaceDE w:val="0"/>
        <w:autoSpaceDN w:val="0"/>
        <w:adjustRightInd w:val="0"/>
        <w:ind w:left="0" w:firstLine="425"/>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招标人将按照公开、公平、公正的原则对待所有投标方。</w:t>
      </w:r>
    </w:p>
    <w:p>
      <w:pPr>
        <w:numPr>
          <w:ilvl w:val="0"/>
          <w:numId w:val="44"/>
        </w:numPr>
        <w:autoSpaceDE w:val="0"/>
        <w:autoSpaceDN w:val="0"/>
        <w:adjustRightInd w:val="0"/>
        <w:ind w:left="0" w:firstLine="425"/>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评标是招标工作的重要环节，评标工作在招标人内独立进行。</w:t>
      </w:r>
    </w:p>
    <w:p>
      <w:pPr>
        <w:numPr>
          <w:ilvl w:val="0"/>
          <w:numId w:val="44"/>
        </w:numPr>
        <w:autoSpaceDE w:val="0"/>
        <w:autoSpaceDN w:val="0"/>
        <w:adjustRightInd w:val="0"/>
        <w:ind w:left="0" w:firstLine="425"/>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招标人不承诺报价最低者为中标者。</w:t>
      </w:r>
    </w:p>
    <w:p>
      <w:pPr>
        <w:numPr>
          <w:ilvl w:val="0"/>
          <w:numId w:val="44"/>
        </w:numPr>
        <w:autoSpaceDE w:val="0"/>
        <w:autoSpaceDN w:val="0"/>
        <w:adjustRightInd w:val="0"/>
        <w:ind w:left="0" w:firstLine="425"/>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在投标、开标期间，投标人不得向招标人询问情况，不得进行旨在影响评标结果的活动，招标人保留对投标人进行疑问咨询的权力。</w:t>
      </w:r>
    </w:p>
    <w:p>
      <w:pPr>
        <w:numPr>
          <w:ilvl w:val="0"/>
          <w:numId w:val="44"/>
        </w:numPr>
        <w:autoSpaceDE w:val="0"/>
        <w:autoSpaceDN w:val="0"/>
        <w:adjustRightInd w:val="0"/>
        <w:ind w:left="0" w:firstLine="425"/>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在投标、评标过程中，如有投标人联合故意抬高报价或其他不</w:t>
      </w:r>
    </w:p>
    <w:p>
      <w:pPr>
        <w:autoSpaceDE w:val="0"/>
        <w:autoSpaceDN w:val="0"/>
        <w:adjustRightInd w:val="0"/>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正当行为，招标人有权中止投标或评标。</w:t>
      </w:r>
    </w:p>
    <w:p>
      <w:pPr>
        <w:numPr>
          <w:ilvl w:val="0"/>
          <w:numId w:val="44"/>
        </w:numPr>
        <w:autoSpaceDE w:val="0"/>
        <w:autoSpaceDN w:val="0"/>
        <w:adjustRightInd w:val="0"/>
        <w:ind w:left="0" w:firstLine="425"/>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江苏常熟农村商业银行股份有限公司保留对本次招标的最终解释权。</w:t>
      </w:r>
    </w:p>
    <w:p>
      <w:pPr>
        <w:pStyle w:val="3"/>
        <w:spacing w:after="0" w:line="240" w:lineRule="auto"/>
        <w:jc w:val="left"/>
        <w:rPr>
          <w:rFonts w:hint="eastAsia" w:ascii="仿宋_GB2312" w:hAnsi="仿宋_GB2312" w:eastAsia="仿宋_GB2312" w:cs="仿宋_GB2312"/>
          <w:b w:val="0"/>
          <w:bCs w:val="0"/>
          <w:snapToGrid w:val="0"/>
          <w:sz w:val="28"/>
          <w:szCs w:val="28"/>
        </w:rPr>
      </w:pPr>
      <w:r>
        <w:rPr>
          <w:rFonts w:hint="eastAsia" w:ascii="仿宋_GB2312" w:hAnsi="仿宋_GB2312" w:eastAsia="仿宋_GB2312" w:cs="仿宋_GB2312"/>
          <w:b w:val="0"/>
          <w:bCs w:val="0"/>
          <w:snapToGrid w:val="0"/>
          <w:sz w:val="28"/>
          <w:szCs w:val="28"/>
        </w:rPr>
        <w:t>六、中标、履约保证金与签署合同</w:t>
      </w:r>
    </w:p>
    <w:p>
      <w:pPr>
        <w:pStyle w:val="4"/>
        <w:spacing w:after="0" w:line="240" w:lineRule="auto"/>
        <w:ind w:firstLine="560" w:firstLineChars="200"/>
        <w:jc w:val="left"/>
        <w:rPr>
          <w:rFonts w:hint="eastAsia" w:ascii="仿宋_GB2312" w:hAnsi="仿宋_GB2312" w:eastAsia="仿宋_GB2312" w:cs="仿宋_GB2312"/>
          <w:b w:val="0"/>
          <w:snapToGrid w:val="0"/>
          <w:sz w:val="28"/>
          <w:szCs w:val="28"/>
        </w:rPr>
      </w:pPr>
      <w:r>
        <w:rPr>
          <w:rFonts w:hint="eastAsia" w:ascii="仿宋_GB2312" w:hAnsi="仿宋_GB2312" w:eastAsia="仿宋_GB2312" w:cs="仿宋_GB2312"/>
          <w:b w:val="0"/>
          <w:snapToGrid w:val="0"/>
          <w:sz w:val="28"/>
          <w:szCs w:val="28"/>
        </w:rPr>
        <w:t>（一）定标原则</w:t>
      </w:r>
    </w:p>
    <w:p>
      <w:pPr>
        <w:adjustRightInd w:val="0"/>
        <w:ind w:firstLine="624"/>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1</w:t>
      </w:r>
      <w:r>
        <w:rPr>
          <w:rFonts w:hint="eastAsia" w:ascii="仿宋_GB2312" w:hAnsi="仿宋_GB2312" w:eastAsia="仿宋_GB2312" w:cs="仿宋_GB2312"/>
          <w:sz w:val="28"/>
          <w:szCs w:val="28"/>
        </w:rPr>
        <w:t>招标人不承诺向投标方披露招标过程中任何细节，包括中标或落标原因。</w:t>
      </w:r>
    </w:p>
    <w:p>
      <w:pPr>
        <w:pStyle w:val="4"/>
        <w:spacing w:after="0" w:line="240" w:lineRule="auto"/>
        <w:ind w:firstLine="560" w:firstLineChars="200"/>
        <w:jc w:val="left"/>
        <w:rPr>
          <w:rFonts w:hint="eastAsia" w:ascii="仿宋_GB2312" w:hAnsi="仿宋_GB2312" w:eastAsia="仿宋_GB2312" w:cs="仿宋_GB2312"/>
          <w:b w:val="0"/>
          <w:snapToGrid w:val="0"/>
          <w:sz w:val="28"/>
          <w:szCs w:val="28"/>
        </w:rPr>
      </w:pPr>
      <w:r>
        <w:rPr>
          <w:rFonts w:hint="eastAsia" w:ascii="仿宋_GB2312" w:hAnsi="仿宋_GB2312" w:eastAsia="仿宋_GB2312" w:cs="仿宋_GB2312"/>
          <w:b w:val="0"/>
          <w:snapToGrid w:val="0"/>
          <w:sz w:val="28"/>
          <w:szCs w:val="28"/>
        </w:rPr>
        <w:t>（二）中标通知</w:t>
      </w:r>
    </w:p>
    <w:p>
      <w:pPr>
        <w:adjustRightInd w:val="0"/>
        <w:ind w:firstLine="624"/>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1.定标后，招标人将发出中标通知。</w:t>
      </w:r>
    </w:p>
    <w:p>
      <w:pPr>
        <w:adjustRightInd w:val="0"/>
        <w:ind w:firstLine="624"/>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2.对落标的投标人不再另行发出落标通知。</w:t>
      </w:r>
    </w:p>
    <w:p>
      <w:pPr>
        <w:adjustRightInd w:val="0"/>
        <w:ind w:firstLine="624"/>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3.中标通知将作为招标人与中标人签订合同的依据之一。</w:t>
      </w:r>
    </w:p>
    <w:p>
      <w:pPr>
        <w:pStyle w:val="4"/>
        <w:spacing w:after="0" w:line="240" w:lineRule="auto"/>
        <w:ind w:firstLine="560" w:firstLineChars="200"/>
        <w:jc w:val="left"/>
        <w:rPr>
          <w:rFonts w:hint="eastAsia" w:ascii="仿宋_GB2312" w:hAnsi="仿宋_GB2312" w:eastAsia="仿宋_GB2312" w:cs="仿宋_GB2312"/>
          <w:b w:val="0"/>
          <w:snapToGrid w:val="0"/>
          <w:sz w:val="28"/>
          <w:szCs w:val="28"/>
        </w:rPr>
      </w:pPr>
      <w:r>
        <w:rPr>
          <w:rFonts w:hint="eastAsia" w:ascii="仿宋_GB2312" w:hAnsi="仿宋_GB2312" w:eastAsia="仿宋_GB2312" w:cs="仿宋_GB2312"/>
          <w:b w:val="0"/>
          <w:snapToGrid w:val="0"/>
          <w:sz w:val="28"/>
          <w:szCs w:val="28"/>
        </w:rPr>
        <w:t>（三）</w:t>
      </w:r>
      <w:r>
        <w:rPr>
          <w:rFonts w:hint="eastAsia" w:ascii="仿宋_GB2312" w:hAnsi="仿宋_GB2312" w:eastAsia="仿宋_GB2312" w:cs="仿宋_GB2312"/>
          <w:b w:val="0"/>
          <w:sz w:val="28"/>
          <w:szCs w:val="28"/>
        </w:rPr>
        <w:t>履约保证金</w:t>
      </w:r>
    </w:p>
    <w:p>
      <w:pPr>
        <w:adjustRightInd w:val="0"/>
        <w:ind w:firstLine="624"/>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1.中标人应当自收到中标通知书之日起30天内，提交合同价10%的履约保证金，并一次性足额存入履约保证金专用账户。</w:t>
      </w:r>
    </w:p>
    <w:p>
      <w:pPr>
        <w:adjustRightInd w:val="0"/>
        <w:ind w:firstLine="624"/>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2、履约保证金应当采用银行转账或电汇等缴纳方式，不直接收取现金、个人存折。</w:t>
      </w:r>
    </w:p>
    <w:p>
      <w:pPr>
        <w:adjustRightInd w:val="0"/>
        <w:ind w:firstLine="624"/>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3.履约保证金在使用电汇、网上银行转帐的形式提交时应写明投标编号及标段、联系方式，以便招标人核对查实。</w:t>
      </w:r>
    </w:p>
    <w:p>
      <w:pPr>
        <w:adjustRightInd w:val="0"/>
        <w:ind w:firstLine="624"/>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户名：江苏常熟农村商业银行股份有限公司（履约保证金）</w:t>
      </w:r>
    </w:p>
    <w:p>
      <w:pPr>
        <w:adjustRightInd w:val="0"/>
        <w:ind w:firstLine="624"/>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账号：101290001022913940</w:t>
      </w:r>
    </w:p>
    <w:p>
      <w:pPr>
        <w:adjustRightInd w:val="0"/>
        <w:ind w:firstLine="624"/>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开户行：常熟农商银行营业部</w:t>
      </w:r>
    </w:p>
    <w:p>
      <w:pPr>
        <w:adjustRightInd w:val="0"/>
        <w:ind w:firstLine="624"/>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受理地点：江苏省常熟市新世纪大道58号；</w:t>
      </w:r>
    </w:p>
    <w:p>
      <w:pPr>
        <w:adjustRightInd w:val="0"/>
        <w:ind w:firstLine="624"/>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受理时间：法定工作日9:00～16:00，交纳时间以履约保证金专用账户实际收到的时间为准。（友情提示：为确保履约保证金能按时到帐，中标人按要求提前将履约保证金汇入专用账户内，以免延误。履约保证金到账查询电话：0512-52739210）</w:t>
      </w:r>
    </w:p>
    <w:p>
      <w:pPr>
        <w:pStyle w:val="4"/>
        <w:spacing w:after="0" w:line="240" w:lineRule="auto"/>
        <w:ind w:firstLine="560" w:firstLineChars="200"/>
        <w:jc w:val="left"/>
        <w:rPr>
          <w:rFonts w:hint="eastAsia" w:ascii="仿宋_GB2312" w:hAnsi="仿宋_GB2312" w:eastAsia="仿宋_GB2312" w:cs="仿宋_GB2312"/>
          <w:b w:val="0"/>
          <w:snapToGrid w:val="0"/>
          <w:sz w:val="28"/>
          <w:szCs w:val="28"/>
        </w:rPr>
      </w:pPr>
      <w:r>
        <w:rPr>
          <w:rFonts w:hint="eastAsia" w:ascii="仿宋_GB2312" w:hAnsi="仿宋_GB2312" w:eastAsia="仿宋_GB2312" w:cs="仿宋_GB2312"/>
          <w:b w:val="0"/>
          <w:snapToGrid w:val="0"/>
          <w:sz w:val="28"/>
          <w:szCs w:val="28"/>
        </w:rPr>
        <w:t>（四）签订合同</w:t>
      </w:r>
    </w:p>
    <w:p>
      <w:pPr>
        <w:numPr>
          <w:ilvl w:val="0"/>
          <w:numId w:val="45"/>
        </w:numPr>
        <w:adjustRightInd w:val="0"/>
        <w:ind w:left="0" w:firstLine="425"/>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招标人将按照招标文件和投标人的投标文件与中标人签订书面合同，签订合同之前，双方需对合同的具体细节进行商谈。</w:t>
      </w:r>
    </w:p>
    <w:p>
      <w:pPr>
        <w:numPr>
          <w:ilvl w:val="0"/>
          <w:numId w:val="45"/>
        </w:numPr>
        <w:adjustRightInd w:val="0"/>
        <w:ind w:left="0" w:firstLine="425"/>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招标人对有关内容有权作出必要的细化和补充，但有关细化和补充不得背离招标文件和投标文件的实质性内容。</w:t>
      </w:r>
    </w:p>
    <w:p>
      <w:pPr>
        <w:numPr>
          <w:ilvl w:val="0"/>
          <w:numId w:val="45"/>
        </w:numPr>
        <w:adjustRightInd w:val="0"/>
        <w:ind w:left="0" w:firstLine="425"/>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招标文件、中标方的投标文件及其澄清文件等，均为签订合同的依据。</w:t>
      </w:r>
    </w:p>
    <w:p>
      <w:pPr>
        <w:pStyle w:val="2"/>
        <w:spacing w:after="240"/>
        <w:jc w:val="center"/>
        <w:rPr>
          <w:rFonts w:hint="eastAsia" w:ascii="仿宋_GB2312" w:hAnsi="仿宋_GB2312" w:eastAsia="仿宋_GB2312" w:cs="仿宋_GB2312"/>
          <w:b/>
          <w:snapToGrid w:val="0"/>
          <w:szCs w:val="28"/>
        </w:rPr>
      </w:pPr>
      <w:r>
        <w:rPr>
          <w:rFonts w:hint="eastAsia" w:ascii="仿宋_GB2312" w:hAnsi="仿宋_GB2312" w:eastAsia="仿宋_GB2312" w:cs="仿宋_GB2312"/>
          <w:b/>
          <w:snapToGrid w:val="0"/>
          <w:szCs w:val="28"/>
        </w:rPr>
        <w:br w:type="page"/>
      </w:r>
      <w:r>
        <w:rPr>
          <w:rFonts w:hint="eastAsia" w:ascii="仿宋_GB2312" w:hAnsi="仿宋_GB2312" w:eastAsia="仿宋_GB2312" w:cs="仿宋_GB2312"/>
          <w:b/>
          <w:snapToGrid w:val="0"/>
          <w:szCs w:val="28"/>
        </w:rPr>
        <w:t>第四部分   投标文件格式</w:t>
      </w:r>
    </w:p>
    <w:p>
      <w:pPr>
        <w:pStyle w:val="3"/>
        <w:spacing w:after="0" w:line="240" w:lineRule="auto"/>
        <w:jc w:val="left"/>
        <w:rPr>
          <w:rFonts w:hint="eastAsia" w:ascii="仿宋_GB2312" w:hAnsi="仿宋_GB2312" w:eastAsia="仿宋_GB2312" w:cs="仿宋_GB2312"/>
          <w:b w:val="0"/>
          <w:snapToGrid w:val="0"/>
          <w:sz w:val="28"/>
          <w:szCs w:val="28"/>
          <w:shd w:val="pct10" w:color="auto" w:fill="FFFFFF"/>
        </w:rPr>
      </w:pPr>
      <w:r>
        <w:rPr>
          <w:rFonts w:hint="eastAsia" w:ascii="仿宋_GB2312" w:hAnsi="仿宋_GB2312" w:eastAsia="仿宋_GB2312" w:cs="仿宋_GB2312"/>
          <w:b w:val="0"/>
          <w:snapToGrid w:val="0"/>
          <w:sz w:val="28"/>
          <w:szCs w:val="28"/>
        </w:rPr>
        <w:t>附件1：《投标书》</w:t>
      </w:r>
    </w:p>
    <w:p>
      <w:pPr>
        <w:pStyle w:val="21"/>
        <w:adjustRightInd w:val="0"/>
        <w:jc w:val="center"/>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投  标  书</w:t>
      </w:r>
    </w:p>
    <w:p>
      <w:pPr>
        <w:pStyle w:val="21"/>
        <w:adjustRightInd w:val="0"/>
        <w:rPr>
          <w:rFonts w:hint="eastAsia" w:ascii="仿宋_GB2312" w:hAnsi="仿宋_GB2312" w:eastAsia="仿宋_GB2312" w:cs="仿宋_GB2312"/>
          <w:b/>
          <w:snapToGrid w:val="0"/>
          <w:sz w:val="28"/>
          <w:szCs w:val="28"/>
        </w:rPr>
      </w:pPr>
      <w:r>
        <w:rPr>
          <w:rFonts w:hint="eastAsia" w:ascii="仿宋_GB2312" w:hAnsi="仿宋_GB2312" w:eastAsia="仿宋_GB2312" w:cs="仿宋_GB2312"/>
          <w:b/>
          <w:snapToGrid w:val="0"/>
          <w:sz w:val="28"/>
          <w:szCs w:val="28"/>
        </w:rPr>
        <w:t xml:space="preserve"> </w:t>
      </w:r>
    </w:p>
    <w:p>
      <w:pPr>
        <w:pStyle w:val="21"/>
        <w:adjustRightInd w:val="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致：</w:t>
      </w:r>
      <w:r>
        <w:rPr>
          <w:rFonts w:hint="eastAsia" w:ascii="仿宋_GB2312" w:hAnsi="仿宋_GB2312" w:eastAsia="仿宋_GB2312" w:cs="仿宋_GB2312"/>
          <w:snapToGrid w:val="0"/>
          <w:sz w:val="28"/>
        </w:rPr>
        <w:t>江苏常熟农村商业银行股份有限公司</w:t>
      </w:r>
    </w:p>
    <w:p>
      <w:pPr>
        <w:autoSpaceDE w:val="0"/>
        <w:autoSpaceDN w:val="0"/>
        <w:adjustRightInd w:val="0"/>
        <w:ind w:firstLine="624"/>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根据贵方</w:t>
      </w:r>
      <w:r>
        <w:rPr>
          <w:rFonts w:hint="eastAsia" w:ascii="仿宋_GB2312" w:hAnsi="仿宋_GB2312" w:eastAsia="仿宋_GB2312" w:cs="仿宋_GB2312"/>
          <w:snapToGrid w:val="0"/>
          <w:sz w:val="28"/>
          <w:szCs w:val="28"/>
          <w:u w:val="single"/>
        </w:rPr>
        <w:t xml:space="preserve">       </w:t>
      </w:r>
      <w:r>
        <w:rPr>
          <w:rFonts w:hint="eastAsia" w:ascii="仿宋_GB2312" w:hAnsi="仿宋_GB2312" w:eastAsia="仿宋_GB2312" w:cs="仿宋_GB2312"/>
          <w:snapToGrid w:val="0"/>
          <w:sz w:val="28"/>
          <w:szCs w:val="28"/>
        </w:rPr>
        <w:t>招标书，投标人</w:t>
      </w:r>
      <w:r>
        <w:rPr>
          <w:rFonts w:hint="eastAsia" w:ascii="仿宋_GB2312" w:hAnsi="仿宋_GB2312" w:eastAsia="仿宋_GB2312" w:cs="仿宋_GB2312"/>
          <w:snapToGrid w:val="0"/>
          <w:sz w:val="28"/>
          <w:szCs w:val="28"/>
          <w:u w:val="single"/>
        </w:rPr>
        <w:t xml:space="preserve">              </w:t>
      </w:r>
      <w:r>
        <w:rPr>
          <w:rFonts w:hint="eastAsia" w:ascii="仿宋_GB2312" w:hAnsi="仿宋_GB2312" w:eastAsia="仿宋_GB2312" w:cs="仿宋_GB2312"/>
          <w:snapToGrid w:val="0"/>
          <w:sz w:val="28"/>
          <w:szCs w:val="28"/>
        </w:rPr>
        <w:t>（投标人名称）提供相关文件并做出以下承诺：</w:t>
      </w:r>
    </w:p>
    <w:p>
      <w:pPr>
        <w:numPr>
          <w:ilvl w:val="0"/>
          <w:numId w:val="46"/>
        </w:numPr>
        <w:autoSpaceDE w:val="0"/>
        <w:autoSpaceDN w:val="0"/>
        <w:adjustRightInd w:val="0"/>
        <w:ind w:firstLine="624"/>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招标文件规定的全部文件正本一份，副本</w:t>
      </w:r>
      <w:r>
        <w:rPr>
          <w:rFonts w:hint="eastAsia" w:ascii="仿宋_GB2312" w:hAnsi="仿宋_GB2312" w:eastAsia="仿宋_GB2312" w:cs="仿宋_GB2312"/>
          <w:snapToGrid w:val="0"/>
          <w:sz w:val="28"/>
          <w:szCs w:val="28"/>
          <w:u w:val="single"/>
        </w:rPr>
        <w:t xml:space="preserve">   </w:t>
      </w:r>
      <w:r>
        <w:rPr>
          <w:rFonts w:hint="eastAsia" w:ascii="仿宋_GB2312" w:hAnsi="仿宋_GB2312" w:eastAsia="仿宋_GB2312" w:cs="仿宋_GB2312"/>
          <w:snapToGrid w:val="0"/>
          <w:sz w:val="28"/>
          <w:szCs w:val="28"/>
        </w:rPr>
        <w:t>份，电子文档一份。</w:t>
      </w:r>
    </w:p>
    <w:p>
      <w:pPr>
        <w:autoSpaceDE w:val="0"/>
        <w:autoSpaceDN w:val="0"/>
        <w:adjustRightInd w:val="0"/>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 xml:space="preserve">    二、投标人同意如下：</w:t>
      </w:r>
    </w:p>
    <w:p>
      <w:pPr>
        <w:adjustRightInd w:val="0"/>
        <w:ind w:firstLine="700" w:firstLineChars="25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1．投标人完全接受招标文件中的内容，并将按招标文件的规定履行义务，按相关法律法规履行我方的全部责任。</w:t>
      </w:r>
    </w:p>
    <w:p>
      <w:pPr>
        <w:adjustRightInd w:val="0"/>
        <w:ind w:firstLine="700" w:firstLineChars="25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2.投标人己详细审查全部招标文件，包括修改文件以及全部参考资料和有关附件，无其他不明事项。</w:t>
      </w:r>
    </w:p>
    <w:p>
      <w:pPr>
        <w:adjustRightInd w:val="0"/>
        <w:ind w:firstLine="700" w:firstLineChars="25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3.投标人同意招标人要求的相关数据或资料，完全理解招标人在招标文件中确定的评标原则和程序，</w:t>
      </w:r>
      <w:r>
        <w:rPr>
          <w:rFonts w:hint="eastAsia" w:ascii="仿宋_GB2312" w:hAnsi="仿宋_GB2312" w:eastAsia="仿宋_GB2312" w:cs="仿宋_GB2312"/>
          <w:sz w:val="28"/>
          <w:szCs w:val="28"/>
        </w:rPr>
        <w:t>理解贵方不一定要接受最低报价的投标。</w:t>
      </w:r>
    </w:p>
    <w:p>
      <w:pPr>
        <w:adjustRightInd w:val="0"/>
        <w:ind w:firstLine="700" w:firstLineChars="250"/>
        <w:rPr>
          <w:rFonts w:hint="eastAsia" w:ascii="仿宋_GB2312" w:hAnsi="仿宋_GB2312" w:eastAsia="仿宋_GB2312" w:cs="仿宋_GB2312"/>
          <w:sz w:val="28"/>
        </w:rPr>
      </w:pPr>
      <w:r>
        <w:rPr>
          <w:rFonts w:hint="eastAsia" w:ascii="仿宋_GB2312" w:hAnsi="仿宋_GB2312" w:eastAsia="仿宋_GB2312" w:cs="仿宋_GB2312"/>
          <w:snapToGrid w:val="0"/>
          <w:sz w:val="28"/>
          <w:szCs w:val="28"/>
        </w:rPr>
        <w:t>三、</w:t>
      </w:r>
      <w:r>
        <w:rPr>
          <w:rFonts w:hint="eastAsia" w:ascii="仿宋_GB2312" w:hAnsi="仿宋_GB2312" w:eastAsia="仿宋_GB2312" w:cs="仿宋_GB2312"/>
          <w:sz w:val="28"/>
        </w:rPr>
        <w:t>投标方保证投标文件中所有关于投标资格的文件，证明陈述均是真实的、准确的。若有违背，投标方愿意承担由此而产生的一切后果。</w:t>
      </w:r>
    </w:p>
    <w:p>
      <w:pPr>
        <w:adjustRightInd w:val="0"/>
        <w:ind w:firstLine="700" w:firstLineChars="250"/>
        <w:jc w:val="left"/>
        <w:rPr>
          <w:rFonts w:hint="eastAsia" w:ascii="仿宋_GB2312" w:hAnsi="仿宋_GB2312" w:eastAsia="仿宋_GB2312" w:cs="仿宋_GB2312"/>
          <w:sz w:val="28"/>
        </w:rPr>
      </w:pPr>
      <w:r>
        <w:rPr>
          <w:rFonts w:hint="eastAsia" w:ascii="仿宋_GB2312" w:hAnsi="仿宋_GB2312" w:eastAsia="仿宋_GB2312" w:cs="仿宋_GB2312"/>
          <w:sz w:val="28"/>
        </w:rPr>
        <w:t>四、</w:t>
      </w:r>
      <w:r>
        <w:rPr>
          <w:rFonts w:hint="eastAsia" w:ascii="仿宋_GB2312" w:hAnsi="仿宋_GB2312" w:eastAsia="仿宋_GB2312" w:cs="仿宋_GB2312"/>
          <w:snapToGrid w:val="0"/>
          <w:sz w:val="28"/>
          <w:szCs w:val="28"/>
        </w:rPr>
        <w:t>投标方</w:t>
      </w:r>
      <w:r>
        <w:rPr>
          <w:rFonts w:hint="eastAsia" w:ascii="仿宋_GB2312" w:hAnsi="仿宋_GB2312" w:eastAsia="仿宋_GB2312" w:cs="仿宋_GB2312"/>
          <w:sz w:val="28"/>
        </w:rPr>
        <w:t>愿意按招标文件的规定交纳人民币(大写)</w:t>
      </w:r>
      <w:r>
        <w:rPr>
          <w:rFonts w:hint="eastAsia" w:ascii="仿宋_GB2312" w:hAnsi="仿宋_GB2312" w:eastAsia="仿宋_GB2312" w:cs="仿宋_GB2312"/>
          <w:sz w:val="28"/>
          <w:u w:val="single"/>
        </w:rPr>
        <w:t xml:space="preserve">        元整</w:t>
      </w:r>
      <w:r>
        <w:rPr>
          <w:rFonts w:hint="eastAsia" w:ascii="仿宋_GB2312" w:hAnsi="仿宋_GB2312" w:eastAsia="仿宋_GB2312" w:cs="仿宋_GB2312"/>
          <w:sz w:val="28"/>
        </w:rPr>
        <w:t>的投标保证金。如我方在投标有效期届满后撤回投标，或中标后拒绝遵守投标承诺、拒绝在规定的时间内与采购方签订合同，则贵行可以将我方交付的投标保证金作为违约金直接扣收。</w:t>
      </w:r>
    </w:p>
    <w:p>
      <w:pPr>
        <w:adjustRightInd w:val="0"/>
        <w:ind w:firstLine="700" w:firstLineChars="250"/>
        <w:rPr>
          <w:rFonts w:hint="eastAsia" w:ascii="仿宋_GB2312" w:hAnsi="仿宋_GB2312" w:eastAsia="仿宋_GB2312" w:cs="仿宋_GB2312"/>
          <w:sz w:val="28"/>
        </w:rPr>
      </w:pPr>
      <w:r>
        <w:rPr>
          <w:rFonts w:hint="eastAsia" w:ascii="仿宋_GB2312" w:hAnsi="仿宋_GB2312" w:eastAsia="仿宋_GB2312" w:cs="仿宋_GB2312"/>
          <w:sz w:val="28"/>
        </w:rPr>
        <w:t>五、如果我方被确定为中标人，我方愿意按招标文件的规定交纳履约保证金。且我方如无不可抗力，又未履行招标文件、投标文件和合同条款的，一经查实，我方愿意赔偿由此而造成的一切损失，并同意接受按招标文件的相关要求对我方进行的处理。</w:t>
      </w:r>
    </w:p>
    <w:p>
      <w:pPr>
        <w:adjustRightInd w:val="0"/>
        <w:ind w:firstLine="700" w:firstLineChars="250"/>
        <w:rPr>
          <w:rFonts w:hint="eastAsia" w:ascii="仿宋_GB2312" w:hAnsi="仿宋_GB2312" w:eastAsia="仿宋_GB2312" w:cs="仿宋_GB2312"/>
          <w:snapToGrid w:val="0"/>
          <w:sz w:val="28"/>
          <w:szCs w:val="28"/>
        </w:rPr>
      </w:pPr>
    </w:p>
    <w:p>
      <w:pPr>
        <w:adjustRightInd w:val="0"/>
        <w:ind w:firstLine="624"/>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与本投标有关的一切正式信函请使用以下地址：</w:t>
      </w:r>
    </w:p>
    <w:p>
      <w:pPr>
        <w:pStyle w:val="21"/>
        <w:adjustRightInd w:val="0"/>
        <w:ind w:firstLine="624"/>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地址：</w:t>
      </w:r>
      <w:r>
        <w:rPr>
          <w:rFonts w:hint="eastAsia" w:ascii="仿宋_GB2312" w:hAnsi="仿宋_GB2312" w:eastAsia="仿宋_GB2312" w:cs="仿宋_GB2312"/>
          <w:snapToGrid w:val="0"/>
          <w:sz w:val="28"/>
          <w:szCs w:val="28"/>
          <w:u w:val="single"/>
        </w:rPr>
        <w:t xml:space="preserve">                           </w:t>
      </w:r>
    </w:p>
    <w:p>
      <w:pPr>
        <w:pStyle w:val="21"/>
        <w:adjustRightInd w:val="0"/>
        <w:ind w:firstLine="624"/>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邮编：</w:t>
      </w:r>
      <w:r>
        <w:rPr>
          <w:rFonts w:hint="eastAsia" w:ascii="仿宋_GB2312" w:hAnsi="仿宋_GB2312" w:eastAsia="仿宋_GB2312" w:cs="仿宋_GB2312"/>
          <w:snapToGrid w:val="0"/>
          <w:sz w:val="28"/>
          <w:szCs w:val="28"/>
          <w:u w:val="single"/>
        </w:rPr>
        <w:t xml:space="preserve">                           </w:t>
      </w:r>
    </w:p>
    <w:p>
      <w:pPr>
        <w:pStyle w:val="21"/>
        <w:adjustRightInd w:val="0"/>
        <w:ind w:firstLine="624"/>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电话：</w:t>
      </w:r>
      <w:r>
        <w:rPr>
          <w:rFonts w:hint="eastAsia" w:ascii="仿宋_GB2312" w:hAnsi="仿宋_GB2312" w:eastAsia="仿宋_GB2312" w:cs="仿宋_GB2312"/>
          <w:snapToGrid w:val="0"/>
          <w:sz w:val="28"/>
          <w:szCs w:val="28"/>
          <w:u w:val="single"/>
        </w:rPr>
        <w:t xml:space="preserve">                           </w:t>
      </w:r>
    </w:p>
    <w:p>
      <w:pPr>
        <w:pStyle w:val="21"/>
        <w:adjustRightInd w:val="0"/>
        <w:ind w:firstLine="624"/>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传真：</w:t>
      </w:r>
      <w:r>
        <w:rPr>
          <w:rFonts w:hint="eastAsia" w:ascii="仿宋_GB2312" w:hAnsi="仿宋_GB2312" w:eastAsia="仿宋_GB2312" w:cs="仿宋_GB2312"/>
          <w:snapToGrid w:val="0"/>
          <w:sz w:val="28"/>
          <w:szCs w:val="28"/>
          <w:u w:val="single"/>
        </w:rPr>
        <w:t xml:space="preserve">                           </w:t>
      </w:r>
    </w:p>
    <w:p>
      <w:pPr>
        <w:pStyle w:val="21"/>
        <w:adjustRightInd w:val="0"/>
        <w:ind w:firstLine="624"/>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投标人法定代表人姓名、职务（印刷体）：</w:t>
      </w:r>
      <w:r>
        <w:rPr>
          <w:rFonts w:hint="eastAsia" w:ascii="仿宋_GB2312" w:hAnsi="仿宋_GB2312" w:eastAsia="仿宋_GB2312" w:cs="仿宋_GB2312"/>
          <w:snapToGrid w:val="0"/>
          <w:sz w:val="28"/>
          <w:szCs w:val="28"/>
          <w:u w:val="single"/>
        </w:rPr>
        <w:t xml:space="preserve">             </w:t>
      </w:r>
    </w:p>
    <w:p>
      <w:pPr>
        <w:pStyle w:val="21"/>
        <w:adjustRightInd w:val="0"/>
        <w:ind w:firstLine="624"/>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投标人名称：</w:t>
      </w:r>
      <w:r>
        <w:rPr>
          <w:rFonts w:hint="eastAsia" w:ascii="仿宋_GB2312" w:hAnsi="仿宋_GB2312" w:eastAsia="仿宋_GB2312" w:cs="仿宋_GB2312"/>
          <w:snapToGrid w:val="0"/>
          <w:sz w:val="28"/>
          <w:szCs w:val="28"/>
          <w:u w:val="single"/>
        </w:rPr>
        <w:t xml:space="preserve">                       </w:t>
      </w:r>
    </w:p>
    <w:p>
      <w:pPr>
        <w:pStyle w:val="21"/>
        <w:adjustRightInd w:val="0"/>
        <w:ind w:firstLine="624"/>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单位公章：</w:t>
      </w:r>
      <w:r>
        <w:rPr>
          <w:rFonts w:hint="eastAsia" w:ascii="仿宋_GB2312" w:hAnsi="仿宋_GB2312" w:eastAsia="仿宋_GB2312" w:cs="仿宋_GB2312"/>
          <w:snapToGrid w:val="0"/>
          <w:sz w:val="28"/>
          <w:szCs w:val="28"/>
          <w:u w:val="single"/>
        </w:rPr>
        <w:t xml:space="preserve">                       </w:t>
      </w:r>
    </w:p>
    <w:p>
      <w:pPr>
        <w:pStyle w:val="21"/>
        <w:adjustRightInd w:val="0"/>
        <w:ind w:firstLine="624"/>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法定代表人或授权代理人签字：</w:t>
      </w:r>
      <w:r>
        <w:rPr>
          <w:rFonts w:hint="eastAsia" w:ascii="仿宋_GB2312" w:hAnsi="仿宋_GB2312" w:eastAsia="仿宋_GB2312" w:cs="仿宋_GB2312"/>
          <w:snapToGrid w:val="0"/>
          <w:sz w:val="28"/>
          <w:szCs w:val="28"/>
          <w:u w:val="single"/>
        </w:rPr>
        <w:t xml:space="preserve">                    </w:t>
      </w:r>
    </w:p>
    <w:p>
      <w:pPr>
        <w:autoSpaceDE w:val="0"/>
        <w:autoSpaceDN w:val="0"/>
        <w:adjustRightInd w:val="0"/>
        <w:ind w:firstLine="624"/>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日期：</w:t>
      </w:r>
      <w:r>
        <w:rPr>
          <w:rFonts w:hint="eastAsia" w:ascii="仿宋_GB2312" w:hAnsi="仿宋_GB2312" w:eastAsia="仿宋_GB2312" w:cs="仿宋_GB2312"/>
          <w:snapToGrid w:val="0"/>
          <w:sz w:val="28"/>
          <w:szCs w:val="28"/>
          <w:u w:val="single"/>
        </w:rPr>
        <w:t xml:space="preserve">      </w:t>
      </w:r>
      <w:r>
        <w:rPr>
          <w:rFonts w:hint="eastAsia" w:ascii="仿宋_GB2312" w:hAnsi="仿宋_GB2312" w:eastAsia="仿宋_GB2312" w:cs="仿宋_GB2312"/>
          <w:snapToGrid w:val="0"/>
          <w:sz w:val="28"/>
          <w:szCs w:val="28"/>
        </w:rPr>
        <w:t>年</w:t>
      </w:r>
      <w:r>
        <w:rPr>
          <w:rFonts w:hint="eastAsia" w:ascii="仿宋_GB2312" w:hAnsi="仿宋_GB2312" w:eastAsia="仿宋_GB2312" w:cs="仿宋_GB2312"/>
          <w:snapToGrid w:val="0"/>
          <w:sz w:val="28"/>
          <w:szCs w:val="28"/>
          <w:u w:val="single"/>
        </w:rPr>
        <w:t xml:space="preserve">     </w:t>
      </w:r>
      <w:r>
        <w:rPr>
          <w:rFonts w:hint="eastAsia" w:ascii="仿宋_GB2312" w:hAnsi="仿宋_GB2312" w:eastAsia="仿宋_GB2312" w:cs="仿宋_GB2312"/>
          <w:snapToGrid w:val="0"/>
          <w:sz w:val="28"/>
          <w:szCs w:val="28"/>
        </w:rPr>
        <w:t>月</w:t>
      </w:r>
      <w:r>
        <w:rPr>
          <w:rFonts w:hint="eastAsia" w:ascii="仿宋_GB2312" w:hAnsi="仿宋_GB2312" w:eastAsia="仿宋_GB2312" w:cs="仿宋_GB2312"/>
          <w:snapToGrid w:val="0"/>
          <w:sz w:val="28"/>
          <w:szCs w:val="28"/>
          <w:u w:val="single"/>
        </w:rPr>
        <w:t xml:space="preserve">     </w:t>
      </w:r>
      <w:r>
        <w:rPr>
          <w:rFonts w:hint="eastAsia" w:ascii="仿宋_GB2312" w:hAnsi="仿宋_GB2312" w:eastAsia="仿宋_GB2312" w:cs="仿宋_GB2312"/>
          <w:snapToGrid w:val="0"/>
          <w:sz w:val="28"/>
          <w:szCs w:val="28"/>
        </w:rPr>
        <w:t>日</w:t>
      </w:r>
    </w:p>
    <w:p>
      <w:pPr>
        <w:pStyle w:val="3"/>
        <w:spacing w:after="0" w:line="240" w:lineRule="auto"/>
        <w:jc w:val="left"/>
        <w:rPr>
          <w:rFonts w:hint="eastAsia" w:ascii="仿宋_GB2312" w:hAnsi="仿宋_GB2312" w:eastAsia="仿宋_GB2312" w:cs="仿宋_GB2312"/>
          <w:b w:val="0"/>
          <w:snapToGrid w:val="0"/>
          <w:sz w:val="28"/>
          <w:szCs w:val="28"/>
        </w:rPr>
      </w:pPr>
      <w:r>
        <w:rPr>
          <w:rFonts w:hint="eastAsia" w:ascii="仿宋_GB2312" w:hAnsi="仿宋_GB2312" w:eastAsia="仿宋_GB2312" w:cs="仿宋_GB2312"/>
          <w:b w:val="0"/>
          <w:snapToGrid w:val="0"/>
          <w:sz w:val="28"/>
          <w:szCs w:val="28"/>
        </w:rPr>
        <w:br w:type="page"/>
      </w:r>
      <w:r>
        <w:rPr>
          <w:rFonts w:hint="eastAsia" w:ascii="仿宋_GB2312" w:hAnsi="仿宋_GB2312" w:eastAsia="仿宋_GB2312" w:cs="仿宋_GB2312"/>
          <w:b w:val="0"/>
          <w:snapToGrid w:val="0"/>
          <w:sz w:val="28"/>
          <w:szCs w:val="28"/>
        </w:rPr>
        <w:t>附件2《投标人情况简介》</w:t>
      </w:r>
    </w:p>
    <w:p>
      <w:pPr>
        <w:pStyle w:val="21"/>
        <w:adjustRightInd w:val="0"/>
        <w:jc w:val="center"/>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投标人情况简介</w:t>
      </w:r>
    </w:p>
    <w:p>
      <w:pPr>
        <w:pStyle w:val="21"/>
        <w:adjustRightInd w:val="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1.名称和概况：</w:t>
      </w:r>
    </w:p>
    <w:p>
      <w:pPr>
        <w:pStyle w:val="21"/>
        <w:adjustRightInd w:val="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A．投标人名称：</w:t>
      </w:r>
      <w:r>
        <w:rPr>
          <w:rFonts w:hint="eastAsia" w:ascii="仿宋_GB2312" w:hAnsi="仿宋_GB2312" w:eastAsia="仿宋_GB2312" w:cs="仿宋_GB2312"/>
          <w:snapToGrid w:val="0"/>
          <w:sz w:val="28"/>
          <w:szCs w:val="28"/>
          <w:u w:val="single"/>
        </w:rPr>
        <w:t xml:space="preserve">                       </w:t>
      </w:r>
    </w:p>
    <w:p>
      <w:pPr>
        <w:pStyle w:val="21"/>
        <w:adjustRightInd w:val="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B．地址：</w:t>
      </w:r>
      <w:r>
        <w:rPr>
          <w:rFonts w:hint="eastAsia" w:ascii="仿宋_GB2312" w:hAnsi="仿宋_GB2312" w:eastAsia="仿宋_GB2312" w:cs="仿宋_GB2312"/>
          <w:snapToGrid w:val="0"/>
          <w:sz w:val="28"/>
          <w:szCs w:val="28"/>
          <w:u w:val="single"/>
        </w:rPr>
        <w:t xml:space="preserve">                   </w:t>
      </w:r>
      <w:r>
        <w:rPr>
          <w:rFonts w:hint="eastAsia" w:ascii="仿宋_GB2312" w:hAnsi="仿宋_GB2312" w:eastAsia="仿宋_GB2312" w:cs="仿宋_GB2312"/>
          <w:snapToGrid w:val="0"/>
          <w:sz w:val="28"/>
          <w:szCs w:val="28"/>
        </w:rPr>
        <w:t>邮编：</w:t>
      </w:r>
      <w:r>
        <w:rPr>
          <w:rFonts w:hint="eastAsia" w:ascii="仿宋_GB2312" w:hAnsi="仿宋_GB2312" w:eastAsia="仿宋_GB2312" w:cs="仿宋_GB2312"/>
          <w:snapToGrid w:val="0"/>
          <w:sz w:val="28"/>
          <w:szCs w:val="28"/>
          <w:u w:val="single"/>
        </w:rPr>
        <w:t xml:space="preserve">                 </w:t>
      </w:r>
    </w:p>
    <w:p>
      <w:pPr>
        <w:pStyle w:val="21"/>
        <w:adjustRightInd w:val="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 xml:space="preserve"> 传真／电话：</w:t>
      </w:r>
      <w:r>
        <w:rPr>
          <w:rFonts w:hint="eastAsia" w:ascii="仿宋_GB2312" w:hAnsi="仿宋_GB2312" w:eastAsia="仿宋_GB2312" w:cs="仿宋_GB2312"/>
          <w:snapToGrid w:val="0"/>
          <w:sz w:val="28"/>
          <w:szCs w:val="28"/>
          <w:u w:val="single"/>
        </w:rPr>
        <w:t xml:space="preserve">                       </w:t>
      </w:r>
    </w:p>
    <w:p>
      <w:pPr>
        <w:pStyle w:val="21"/>
        <w:adjustRightInd w:val="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C．成立日期或注册日期：</w:t>
      </w:r>
      <w:r>
        <w:rPr>
          <w:rFonts w:hint="eastAsia" w:ascii="仿宋_GB2312" w:hAnsi="仿宋_GB2312" w:eastAsia="仿宋_GB2312" w:cs="仿宋_GB2312"/>
          <w:snapToGrid w:val="0"/>
          <w:sz w:val="28"/>
          <w:szCs w:val="28"/>
          <w:u w:val="single"/>
        </w:rPr>
        <w:t xml:space="preserve">                       </w:t>
      </w:r>
    </w:p>
    <w:p>
      <w:pPr>
        <w:pStyle w:val="21"/>
        <w:adjustRightInd w:val="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D．法定代表人或主要负责人姓名：</w:t>
      </w:r>
      <w:r>
        <w:rPr>
          <w:rFonts w:hint="eastAsia" w:ascii="仿宋_GB2312" w:hAnsi="仿宋_GB2312" w:eastAsia="仿宋_GB2312" w:cs="仿宋_GB2312"/>
          <w:snapToGrid w:val="0"/>
          <w:sz w:val="28"/>
          <w:szCs w:val="28"/>
          <w:u w:val="single"/>
        </w:rPr>
        <w:t xml:space="preserve">                   </w:t>
      </w:r>
    </w:p>
    <w:p>
      <w:pPr>
        <w:pStyle w:val="21"/>
        <w:adjustRightInd w:val="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2．财务数据：</w:t>
      </w:r>
    </w:p>
    <w:p>
      <w:pPr>
        <w:pStyle w:val="21"/>
        <w:adjustRightInd w:val="0"/>
        <w:rPr>
          <w:rFonts w:hint="eastAsia" w:ascii="仿宋_GB2312" w:hAnsi="仿宋_GB2312" w:eastAsia="仿宋_GB2312" w:cs="仿宋_GB2312"/>
          <w:snapToGrid w:val="0"/>
          <w:sz w:val="28"/>
          <w:szCs w:val="28"/>
          <w:u w:val="single"/>
        </w:rPr>
      </w:pPr>
      <w:r>
        <w:rPr>
          <w:rFonts w:hint="eastAsia" w:ascii="仿宋_GB2312" w:hAnsi="仿宋_GB2312" w:eastAsia="仿宋_GB2312" w:cs="仿宋_GB2312"/>
          <w:snapToGrid w:val="0"/>
          <w:sz w:val="28"/>
          <w:szCs w:val="28"/>
        </w:rPr>
        <w:t>A. 注册资本：</w:t>
      </w:r>
      <w:r>
        <w:rPr>
          <w:rFonts w:hint="eastAsia" w:ascii="仿宋_GB2312" w:hAnsi="仿宋_GB2312" w:eastAsia="仿宋_GB2312" w:cs="仿宋_GB2312"/>
          <w:snapToGrid w:val="0"/>
          <w:sz w:val="28"/>
          <w:szCs w:val="28"/>
          <w:u w:val="single"/>
        </w:rPr>
        <w:t xml:space="preserve">                      </w:t>
      </w:r>
    </w:p>
    <w:p>
      <w:pPr>
        <w:pStyle w:val="21"/>
        <w:adjustRightInd w:val="0"/>
        <w:rPr>
          <w:rFonts w:hint="eastAsia" w:ascii="仿宋_GB2312" w:hAnsi="仿宋_GB2312" w:eastAsia="仿宋_GB2312" w:cs="仿宋_GB2312"/>
          <w:snapToGrid w:val="0"/>
          <w:sz w:val="28"/>
          <w:szCs w:val="28"/>
          <w:u w:val="single"/>
        </w:rPr>
      </w:pPr>
      <w:r>
        <w:rPr>
          <w:rFonts w:hint="eastAsia" w:ascii="仿宋_GB2312" w:hAnsi="仿宋_GB2312" w:eastAsia="仿宋_GB2312" w:cs="仿宋_GB2312"/>
          <w:snapToGrid w:val="0"/>
          <w:sz w:val="28"/>
          <w:szCs w:val="28"/>
          <w:u w:val="single"/>
        </w:rPr>
        <w:t xml:space="preserve">B. </w:t>
      </w:r>
      <w:r>
        <w:rPr>
          <w:rFonts w:hint="eastAsia" w:ascii="仿宋_GB2312" w:hAnsi="仿宋_GB2312" w:eastAsia="仿宋_GB2312" w:cs="仿宋_GB2312"/>
          <w:snapToGrid w:val="0"/>
          <w:sz w:val="28"/>
          <w:szCs w:val="28"/>
        </w:rPr>
        <w:t>提供2018年、2019年和2020年财务报表</w:t>
      </w:r>
    </w:p>
    <w:p>
      <w:pPr>
        <w:pStyle w:val="21"/>
        <w:adjustRightInd w:val="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3．业绩或服务的情况：</w:t>
      </w:r>
    </w:p>
    <w:p>
      <w:pPr>
        <w:pStyle w:val="21"/>
        <w:adjustRightInd w:val="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 xml:space="preserve">A. </w:t>
      </w:r>
      <w:r>
        <w:rPr>
          <w:rFonts w:hint="eastAsia" w:ascii="仿宋_GB2312" w:hAnsi="仿宋_GB2312" w:eastAsia="仿宋_GB2312" w:cs="仿宋_GB2312"/>
          <w:snapToGrid w:val="0"/>
          <w:sz w:val="28"/>
          <w:szCs w:val="28"/>
          <w:u w:val="single"/>
        </w:rPr>
        <w:t>2019</w:t>
      </w:r>
      <w:r>
        <w:rPr>
          <w:rFonts w:hint="eastAsia" w:ascii="仿宋_GB2312" w:hAnsi="仿宋_GB2312" w:eastAsia="仿宋_GB2312" w:cs="仿宋_GB2312"/>
          <w:snapToGrid w:val="0"/>
          <w:sz w:val="28"/>
          <w:szCs w:val="28"/>
        </w:rPr>
        <w:t xml:space="preserve">年至今国内外主要用户的名称和地址： </w:t>
      </w:r>
    </w:p>
    <w:p>
      <w:pPr>
        <w:pStyle w:val="21"/>
        <w:tabs>
          <w:tab w:val="left" w:pos="0"/>
        </w:tabs>
        <w:adjustRightInd w:val="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B. 本次投标的同品牌型号1800KW（PRP功率）及以上功率的发电机组产品近5年在数据中心的应用案例（提供该品牌自2017年1月1日至今的在数据中心/机房应用的同型号的1800KW（PRP功率）及以上发电机组产品销售合同扫描件证明，不限于本次投标代理商的销售合同。），并按以下格式填写案例情况汇总表。</w:t>
      </w: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056"/>
        <w:gridCol w:w="864"/>
        <w:gridCol w:w="818"/>
        <w:gridCol w:w="1056"/>
        <w:gridCol w:w="824"/>
        <w:gridCol w:w="1115"/>
        <w:gridCol w:w="1115"/>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9" w:type="dxa"/>
            <w:shd w:val="clear" w:color="auto" w:fill="auto"/>
          </w:tcPr>
          <w:p>
            <w:pPr>
              <w:pStyle w:val="21"/>
              <w:tabs>
                <w:tab w:val="left" w:pos="0"/>
              </w:tabs>
              <w:adjustRightInd w:val="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合同序号</w:t>
            </w:r>
          </w:p>
        </w:tc>
        <w:tc>
          <w:tcPr>
            <w:tcW w:w="1056" w:type="dxa"/>
            <w:shd w:val="clear" w:color="auto" w:fill="auto"/>
          </w:tcPr>
          <w:p>
            <w:pPr>
              <w:pStyle w:val="21"/>
              <w:tabs>
                <w:tab w:val="left" w:pos="0"/>
              </w:tabs>
              <w:adjustRightInd w:val="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合同名称</w:t>
            </w:r>
          </w:p>
        </w:tc>
        <w:tc>
          <w:tcPr>
            <w:tcW w:w="864" w:type="dxa"/>
            <w:shd w:val="clear" w:color="auto" w:fill="auto"/>
          </w:tcPr>
          <w:p>
            <w:pPr>
              <w:pStyle w:val="21"/>
              <w:tabs>
                <w:tab w:val="left" w:pos="0"/>
              </w:tabs>
              <w:adjustRightInd w:val="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合同签订年份</w:t>
            </w:r>
          </w:p>
        </w:tc>
        <w:tc>
          <w:tcPr>
            <w:tcW w:w="818" w:type="dxa"/>
            <w:shd w:val="clear" w:color="auto" w:fill="auto"/>
          </w:tcPr>
          <w:p>
            <w:pPr>
              <w:pStyle w:val="21"/>
              <w:tabs>
                <w:tab w:val="left" w:pos="0"/>
              </w:tabs>
              <w:adjustRightInd w:val="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型号</w:t>
            </w:r>
          </w:p>
        </w:tc>
        <w:tc>
          <w:tcPr>
            <w:tcW w:w="1056" w:type="dxa"/>
            <w:shd w:val="clear" w:color="auto" w:fill="auto"/>
          </w:tcPr>
          <w:p>
            <w:pPr>
              <w:pStyle w:val="21"/>
              <w:tabs>
                <w:tab w:val="left" w:pos="0"/>
              </w:tabs>
              <w:adjustRightInd w:val="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单台容量</w:t>
            </w:r>
          </w:p>
        </w:tc>
        <w:tc>
          <w:tcPr>
            <w:tcW w:w="824" w:type="dxa"/>
            <w:shd w:val="clear" w:color="auto" w:fill="auto"/>
          </w:tcPr>
          <w:p>
            <w:pPr>
              <w:pStyle w:val="21"/>
              <w:tabs>
                <w:tab w:val="left" w:pos="0"/>
              </w:tabs>
              <w:adjustRightInd w:val="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台数</w:t>
            </w:r>
          </w:p>
        </w:tc>
        <w:tc>
          <w:tcPr>
            <w:tcW w:w="1115" w:type="dxa"/>
            <w:shd w:val="clear" w:color="auto" w:fill="auto"/>
          </w:tcPr>
          <w:p>
            <w:pPr>
              <w:pStyle w:val="21"/>
              <w:tabs>
                <w:tab w:val="left" w:pos="0"/>
              </w:tabs>
              <w:adjustRightInd w:val="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并机台数和组数</w:t>
            </w:r>
          </w:p>
        </w:tc>
        <w:tc>
          <w:tcPr>
            <w:tcW w:w="1115" w:type="dxa"/>
            <w:shd w:val="clear" w:color="auto" w:fill="auto"/>
          </w:tcPr>
          <w:p>
            <w:pPr>
              <w:pStyle w:val="21"/>
              <w:tabs>
                <w:tab w:val="left" w:pos="0"/>
              </w:tabs>
              <w:adjustRightInd w:val="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客户名称</w:t>
            </w:r>
          </w:p>
        </w:tc>
        <w:tc>
          <w:tcPr>
            <w:tcW w:w="1115" w:type="dxa"/>
            <w:shd w:val="clear" w:color="auto" w:fill="auto"/>
          </w:tcPr>
          <w:p>
            <w:pPr>
              <w:pStyle w:val="21"/>
              <w:tabs>
                <w:tab w:val="left" w:pos="0"/>
              </w:tabs>
              <w:adjustRightInd w:val="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证明合同所在页码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9" w:type="dxa"/>
            <w:vMerge w:val="restart"/>
            <w:shd w:val="clear" w:color="auto" w:fill="auto"/>
          </w:tcPr>
          <w:p>
            <w:pPr>
              <w:pStyle w:val="21"/>
              <w:tabs>
                <w:tab w:val="left" w:pos="0"/>
              </w:tabs>
              <w:adjustRightInd w:val="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1</w:t>
            </w:r>
          </w:p>
        </w:tc>
        <w:tc>
          <w:tcPr>
            <w:tcW w:w="1056" w:type="dxa"/>
            <w:vMerge w:val="restart"/>
            <w:shd w:val="clear" w:color="auto" w:fill="auto"/>
          </w:tcPr>
          <w:p>
            <w:pPr>
              <w:pStyle w:val="21"/>
              <w:tabs>
                <w:tab w:val="left" w:pos="0"/>
              </w:tabs>
              <w:adjustRightInd w:val="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示例合同1</w:t>
            </w:r>
          </w:p>
          <w:p>
            <w:pPr>
              <w:pStyle w:val="21"/>
              <w:tabs>
                <w:tab w:val="left" w:pos="0"/>
              </w:tabs>
              <w:adjustRightInd w:val="0"/>
              <w:rPr>
                <w:rFonts w:hint="eastAsia" w:ascii="仿宋_GB2312" w:hAnsi="仿宋_GB2312" w:eastAsia="仿宋_GB2312" w:cs="仿宋_GB2312"/>
                <w:snapToGrid w:val="0"/>
                <w:sz w:val="28"/>
                <w:szCs w:val="28"/>
              </w:rPr>
            </w:pPr>
          </w:p>
        </w:tc>
        <w:tc>
          <w:tcPr>
            <w:tcW w:w="864" w:type="dxa"/>
            <w:vMerge w:val="restart"/>
            <w:shd w:val="clear" w:color="auto" w:fill="auto"/>
          </w:tcPr>
          <w:p>
            <w:pPr>
              <w:pStyle w:val="21"/>
              <w:tabs>
                <w:tab w:val="left" w:pos="0"/>
              </w:tabs>
              <w:adjustRightInd w:val="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2020年</w:t>
            </w:r>
          </w:p>
        </w:tc>
        <w:tc>
          <w:tcPr>
            <w:tcW w:w="818" w:type="dxa"/>
            <w:shd w:val="clear" w:color="auto" w:fill="auto"/>
          </w:tcPr>
          <w:p>
            <w:pPr>
              <w:pStyle w:val="21"/>
              <w:tabs>
                <w:tab w:val="left" w:pos="0"/>
              </w:tabs>
              <w:adjustRightInd w:val="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ABC</w:t>
            </w:r>
          </w:p>
        </w:tc>
        <w:tc>
          <w:tcPr>
            <w:tcW w:w="1056" w:type="dxa"/>
            <w:shd w:val="clear" w:color="auto" w:fill="auto"/>
          </w:tcPr>
          <w:p>
            <w:pPr>
              <w:pStyle w:val="21"/>
              <w:tabs>
                <w:tab w:val="left" w:pos="0"/>
              </w:tabs>
              <w:adjustRightInd w:val="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1800KW</w:t>
            </w:r>
          </w:p>
        </w:tc>
        <w:tc>
          <w:tcPr>
            <w:tcW w:w="824" w:type="dxa"/>
            <w:shd w:val="clear" w:color="auto" w:fill="auto"/>
          </w:tcPr>
          <w:p>
            <w:pPr>
              <w:pStyle w:val="21"/>
              <w:tabs>
                <w:tab w:val="left" w:pos="0"/>
              </w:tabs>
              <w:adjustRightInd w:val="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16</w:t>
            </w:r>
          </w:p>
        </w:tc>
        <w:tc>
          <w:tcPr>
            <w:tcW w:w="1115" w:type="dxa"/>
            <w:shd w:val="clear" w:color="auto" w:fill="auto"/>
          </w:tcPr>
          <w:p>
            <w:pPr>
              <w:pStyle w:val="21"/>
              <w:tabs>
                <w:tab w:val="left" w:pos="0"/>
              </w:tabs>
              <w:adjustRightInd w:val="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4台并机</w:t>
            </w:r>
          </w:p>
        </w:tc>
        <w:tc>
          <w:tcPr>
            <w:tcW w:w="1115" w:type="dxa"/>
            <w:vMerge w:val="restart"/>
            <w:shd w:val="clear" w:color="auto" w:fill="auto"/>
          </w:tcPr>
          <w:p>
            <w:pPr>
              <w:pStyle w:val="21"/>
              <w:tabs>
                <w:tab w:val="left" w:pos="0"/>
              </w:tabs>
              <w:adjustRightInd w:val="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XX数据中心</w:t>
            </w:r>
          </w:p>
        </w:tc>
        <w:tc>
          <w:tcPr>
            <w:tcW w:w="1115" w:type="dxa"/>
            <w:shd w:val="clear" w:color="auto" w:fill="auto"/>
          </w:tcPr>
          <w:p>
            <w:pPr>
              <w:pStyle w:val="21"/>
              <w:tabs>
                <w:tab w:val="left" w:pos="0"/>
              </w:tabs>
              <w:adjustRightInd w:val="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P100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9" w:type="dxa"/>
            <w:vMerge w:val="continue"/>
            <w:shd w:val="clear" w:color="auto" w:fill="auto"/>
          </w:tcPr>
          <w:p>
            <w:pPr>
              <w:pStyle w:val="21"/>
              <w:tabs>
                <w:tab w:val="left" w:pos="0"/>
              </w:tabs>
              <w:adjustRightInd w:val="0"/>
              <w:rPr>
                <w:rFonts w:hint="eastAsia" w:ascii="仿宋_GB2312" w:hAnsi="仿宋_GB2312" w:eastAsia="仿宋_GB2312" w:cs="仿宋_GB2312"/>
                <w:snapToGrid w:val="0"/>
                <w:sz w:val="28"/>
                <w:szCs w:val="28"/>
              </w:rPr>
            </w:pPr>
          </w:p>
        </w:tc>
        <w:tc>
          <w:tcPr>
            <w:tcW w:w="1056" w:type="dxa"/>
            <w:vMerge w:val="continue"/>
            <w:shd w:val="clear" w:color="auto" w:fill="auto"/>
          </w:tcPr>
          <w:p>
            <w:pPr>
              <w:pStyle w:val="21"/>
              <w:tabs>
                <w:tab w:val="left" w:pos="0"/>
              </w:tabs>
              <w:adjustRightInd w:val="0"/>
              <w:rPr>
                <w:rFonts w:hint="eastAsia" w:ascii="仿宋_GB2312" w:hAnsi="仿宋_GB2312" w:eastAsia="仿宋_GB2312" w:cs="仿宋_GB2312"/>
                <w:snapToGrid w:val="0"/>
                <w:sz w:val="28"/>
                <w:szCs w:val="28"/>
              </w:rPr>
            </w:pPr>
          </w:p>
        </w:tc>
        <w:tc>
          <w:tcPr>
            <w:tcW w:w="864" w:type="dxa"/>
            <w:vMerge w:val="continue"/>
            <w:shd w:val="clear" w:color="auto" w:fill="auto"/>
          </w:tcPr>
          <w:p>
            <w:pPr>
              <w:pStyle w:val="21"/>
              <w:tabs>
                <w:tab w:val="left" w:pos="0"/>
              </w:tabs>
              <w:adjustRightInd w:val="0"/>
              <w:rPr>
                <w:rFonts w:hint="eastAsia" w:ascii="仿宋_GB2312" w:hAnsi="仿宋_GB2312" w:eastAsia="仿宋_GB2312" w:cs="仿宋_GB2312"/>
                <w:snapToGrid w:val="0"/>
                <w:sz w:val="28"/>
                <w:szCs w:val="28"/>
              </w:rPr>
            </w:pPr>
          </w:p>
        </w:tc>
        <w:tc>
          <w:tcPr>
            <w:tcW w:w="818" w:type="dxa"/>
            <w:shd w:val="clear" w:color="auto" w:fill="auto"/>
          </w:tcPr>
          <w:p>
            <w:pPr>
              <w:pStyle w:val="21"/>
              <w:tabs>
                <w:tab w:val="left" w:pos="0"/>
              </w:tabs>
              <w:adjustRightInd w:val="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DEF</w:t>
            </w:r>
          </w:p>
        </w:tc>
        <w:tc>
          <w:tcPr>
            <w:tcW w:w="1056" w:type="dxa"/>
            <w:shd w:val="clear" w:color="auto" w:fill="auto"/>
          </w:tcPr>
          <w:p>
            <w:pPr>
              <w:pStyle w:val="21"/>
              <w:tabs>
                <w:tab w:val="left" w:pos="0"/>
              </w:tabs>
              <w:adjustRightInd w:val="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2000KW</w:t>
            </w:r>
          </w:p>
        </w:tc>
        <w:tc>
          <w:tcPr>
            <w:tcW w:w="824" w:type="dxa"/>
            <w:shd w:val="clear" w:color="auto" w:fill="auto"/>
          </w:tcPr>
          <w:p>
            <w:pPr>
              <w:pStyle w:val="21"/>
              <w:tabs>
                <w:tab w:val="left" w:pos="0"/>
              </w:tabs>
              <w:adjustRightInd w:val="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20</w:t>
            </w:r>
          </w:p>
        </w:tc>
        <w:tc>
          <w:tcPr>
            <w:tcW w:w="1115" w:type="dxa"/>
            <w:shd w:val="clear" w:color="auto" w:fill="auto"/>
          </w:tcPr>
          <w:p>
            <w:pPr>
              <w:pStyle w:val="21"/>
              <w:tabs>
                <w:tab w:val="left" w:pos="0"/>
              </w:tabs>
              <w:adjustRightInd w:val="0"/>
              <w:rPr>
                <w:rFonts w:hint="eastAsia" w:ascii="仿宋_GB2312" w:hAnsi="仿宋_GB2312" w:eastAsia="仿宋_GB2312" w:cs="仿宋_GB2312"/>
                <w:snapToGrid w:val="0"/>
                <w:sz w:val="28"/>
                <w:szCs w:val="28"/>
              </w:rPr>
            </w:pPr>
          </w:p>
        </w:tc>
        <w:tc>
          <w:tcPr>
            <w:tcW w:w="1115" w:type="dxa"/>
            <w:vMerge w:val="continue"/>
            <w:shd w:val="clear" w:color="auto" w:fill="auto"/>
          </w:tcPr>
          <w:p>
            <w:pPr>
              <w:pStyle w:val="21"/>
              <w:tabs>
                <w:tab w:val="left" w:pos="0"/>
              </w:tabs>
              <w:adjustRightInd w:val="0"/>
              <w:rPr>
                <w:rFonts w:hint="eastAsia" w:ascii="仿宋_GB2312" w:hAnsi="仿宋_GB2312" w:eastAsia="仿宋_GB2312" w:cs="仿宋_GB2312"/>
                <w:snapToGrid w:val="0"/>
                <w:sz w:val="28"/>
                <w:szCs w:val="28"/>
              </w:rPr>
            </w:pPr>
          </w:p>
        </w:tc>
        <w:tc>
          <w:tcPr>
            <w:tcW w:w="1115" w:type="dxa"/>
            <w:shd w:val="clear" w:color="auto" w:fill="auto"/>
          </w:tcPr>
          <w:p>
            <w:pPr>
              <w:pStyle w:val="21"/>
              <w:tabs>
                <w:tab w:val="left" w:pos="0"/>
              </w:tabs>
              <w:adjustRightInd w:val="0"/>
              <w:rPr>
                <w:rFonts w:hint="eastAsia" w:ascii="仿宋_GB2312" w:hAnsi="仿宋_GB2312" w:eastAsia="仿宋_GB2312" w:cs="仿宋_GB2312"/>
                <w:snapToGrid w:val="0"/>
                <w:sz w:val="28"/>
                <w:szCs w:val="28"/>
              </w:rPr>
            </w:pPr>
          </w:p>
        </w:tc>
      </w:tr>
    </w:tbl>
    <w:p>
      <w:pPr>
        <w:pStyle w:val="21"/>
        <w:tabs>
          <w:tab w:val="left" w:pos="0"/>
        </w:tabs>
        <w:adjustRightInd w:val="0"/>
        <w:rPr>
          <w:rFonts w:hint="eastAsia" w:ascii="仿宋_GB2312" w:hAnsi="仿宋_GB2312" w:eastAsia="仿宋_GB2312" w:cs="仿宋_GB2312"/>
          <w:snapToGrid w:val="0"/>
          <w:sz w:val="28"/>
          <w:szCs w:val="28"/>
        </w:rPr>
      </w:pPr>
    </w:p>
    <w:p>
      <w:pPr>
        <w:pStyle w:val="21"/>
        <w:tabs>
          <w:tab w:val="left" w:pos="0"/>
        </w:tabs>
        <w:adjustRightInd w:val="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 xml:space="preserve">4. </w:t>
      </w:r>
      <w:r>
        <w:rPr>
          <w:rFonts w:hint="eastAsia" w:ascii="仿宋_GB2312" w:hAnsi="仿宋_GB2312" w:eastAsia="仿宋_GB2312" w:cs="仿宋_GB2312"/>
          <w:snapToGrid w:val="0"/>
          <w:sz w:val="28"/>
          <w:szCs w:val="28"/>
          <w:u w:val="single"/>
        </w:rPr>
        <w:t>2019</w:t>
      </w:r>
      <w:r>
        <w:rPr>
          <w:rFonts w:hint="eastAsia" w:ascii="仿宋_GB2312" w:hAnsi="仿宋_GB2312" w:eastAsia="仿宋_GB2312" w:cs="仿宋_GB2312"/>
          <w:snapToGrid w:val="0"/>
          <w:sz w:val="28"/>
          <w:szCs w:val="28"/>
        </w:rPr>
        <w:t>年至今投标人是否受到过监管机关的处罚？是否有重大涉诉法律纠纷？如有，请列明原因及相关情况。</w:t>
      </w:r>
    </w:p>
    <w:p>
      <w:pPr>
        <w:pStyle w:val="21"/>
        <w:tabs>
          <w:tab w:val="left" w:pos="360"/>
        </w:tabs>
        <w:adjustRightInd w:val="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5.所属集团（如有的话）：</w:t>
      </w:r>
      <w:r>
        <w:rPr>
          <w:rFonts w:hint="eastAsia" w:ascii="仿宋_GB2312" w:hAnsi="仿宋_GB2312" w:eastAsia="仿宋_GB2312" w:cs="仿宋_GB2312"/>
          <w:snapToGrid w:val="0"/>
          <w:sz w:val="28"/>
          <w:szCs w:val="28"/>
          <w:u w:val="single"/>
        </w:rPr>
        <w:t xml:space="preserve">                       </w:t>
      </w:r>
    </w:p>
    <w:p>
      <w:pPr>
        <w:pStyle w:val="21"/>
        <w:numPr>
          <w:ilvl w:val="0"/>
          <w:numId w:val="47"/>
        </w:numPr>
        <w:tabs>
          <w:tab w:val="left" w:pos="0"/>
        </w:tabs>
        <w:adjustRightInd w:val="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体现生产商实力和信誉的其他证明文件（如ISO认证、政府或权威第三方机构颁发的荣誉证书等）。</w:t>
      </w:r>
    </w:p>
    <w:p>
      <w:pPr>
        <w:pStyle w:val="21"/>
        <w:numPr>
          <w:ilvl w:val="0"/>
          <w:numId w:val="47"/>
        </w:numPr>
        <w:tabs>
          <w:tab w:val="left" w:pos="0"/>
        </w:tabs>
        <w:adjustRightInd w:val="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体现投标方实力、信誉和履约能力的证明文件（如ISO认证、信用证明、政府或权威第三方机构颁发的荣誉证书等），提供投标方的机电工程施工资质证书（如有）。</w:t>
      </w:r>
    </w:p>
    <w:p>
      <w:pPr>
        <w:pStyle w:val="21"/>
        <w:tabs>
          <w:tab w:val="left" w:pos="0"/>
        </w:tabs>
        <w:adjustRightInd w:val="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9.体现投标产品质量和性能的其他证明文件（如政府或权威第三方机构出具的相关荣誉证书、测试报告、认证报告等）</w:t>
      </w:r>
    </w:p>
    <w:p>
      <w:pPr>
        <w:pStyle w:val="21"/>
        <w:tabs>
          <w:tab w:val="left" w:pos="0"/>
        </w:tabs>
        <w:adjustRightInd w:val="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10.提供权威第三方机构出具的本次投标品牌发电机组产品的2019年、2020年和2021年（如有）中国市场销售额和市场份额数据，提供报告复印件。</w:t>
      </w:r>
    </w:p>
    <w:p>
      <w:pPr>
        <w:pStyle w:val="21"/>
        <w:tabs>
          <w:tab w:val="left" w:pos="0"/>
        </w:tabs>
        <w:adjustRightInd w:val="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11.提供所投标产品在江苏和上海地区的售后服务网点、备件库清单和联系方式。</w:t>
      </w:r>
    </w:p>
    <w:p>
      <w:pPr>
        <w:pStyle w:val="21"/>
        <w:tabs>
          <w:tab w:val="left" w:pos="0"/>
        </w:tabs>
        <w:adjustRightInd w:val="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12.提供所投标产品品牌在发电机组产品方面的专利数量，提供对应清单和编号。</w:t>
      </w:r>
    </w:p>
    <w:p>
      <w:pPr>
        <w:pStyle w:val="3"/>
        <w:spacing w:after="0" w:line="240" w:lineRule="auto"/>
        <w:jc w:val="left"/>
        <w:rPr>
          <w:rFonts w:hint="eastAsia" w:ascii="仿宋_GB2312" w:hAnsi="仿宋_GB2312" w:eastAsia="仿宋_GB2312" w:cs="仿宋_GB2312"/>
          <w:snapToGrid w:val="0"/>
          <w:sz w:val="28"/>
          <w:szCs w:val="28"/>
        </w:rPr>
      </w:pPr>
      <w:r>
        <w:rPr>
          <w:rFonts w:hint="eastAsia" w:ascii="仿宋_GB2312" w:hAnsi="仿宋_GB2312" w:eastAsia="仿宋_GB2312" w:cs="仿宋_GB2312"/>
          <w:b w:val="0"/>
          <w:snapToGrid w:val="0"/>
          <w:sz w:val="28"/>
          <w:szCs w:val="28"/>
        </w:rPr>
        <w:t>附件3：《投标价格</w:t>
      </w:r>
      <w:r>
        <w:rPr>
          <w:rFonts w:hint="eastAsia" w:ascii="仿宋_GB2312" w:hAnsi="仿宋_GB2312" w:eastAsia="仿宋_GB2312" w:cs="仿宋_GB2312"/>
          <w:sz w:val="28"/>
          <w:szCs w:val="28"/>
        </w:rPr>
        <w:t>一</w:t>
      </w:r>
      <w:r>
        <w:rPr>
          <w:rFonts w:hint="eastAsia" w:ascii="仿宋_GB2312" w:hAnsi="仿宋_GB2312" w:eastAsia="仿宋_GB2312" w:cs="仿宋_GB2312"/>
          <w:b w:val="0"/>
          <w:bCs w:val="0"/>
          <w:sz w:val="28"/>
          <w:szCs w:val="28"/>
        </w:rPr>
        <w:t>览</w:t>
      </w:r>
      <w:r>
        <w:rPr>
          <w:rFonts w:hint="eastAsia" w:ascii="仿宋_GB2312" w:hAnsi="仿宋_GB2312" w:eastAsia="仿宋_GB2312" w:cs="仿宋_GB2312"/>
          <w:b w:val="0"/>
          <w:snapToGrid w:val="0"/>
          <w:sz w:val="28"/>
          <w:szCs w:val="28"/>
        </w:rPr>
        <w:t>表》</w:t>
      </w:r>
    </w:p>
    <w:p>
      <w:pPr>
        <w:adjustRightInd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投标价格一览表</w:t>
      </w:r>
    </w:p>
    <w:p>
      <w:pPr>
        <w:adjustRightInd w:val="0"/>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投标价格一览表由以下几个部分组成： </w:t>
      </w:r>
    </w:p>
    <w:p>
      <w:pPr>
        <w:spacing w:line="360" w:lineRule="auto"/>
        <w:ind w:right="105" w:rightChars="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项目总报价（含税）：（大写）人民币</w:t>
      </w:r>
      <w:r>
        <w:rPr>
          <w:rFonts w:hint="eastAsia" w:ascii="仿宋_GB2312" w:hAnsi="仿宋_GB2312" w:eastAsia="仿宋_GB2312" w:cs="仿宋_GB2312"/>
          <w:sz w:val="24"/>
          <w:szCs w:val="24"/>
          <w:u w:val="single"/>
        </w:rPr>
        <w:t xml:space="preserve">                                   </w:t>
      </w:r>
    </w:p>
    <w:p>
      <w:pPr>
        <w:spacing w:line="360" w:lineRule="auto"/>
        <w:ind w:right="105" w:rightChars="5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           （小写）￥</w:t>
      </w:r>
      <w:r>
        <w:rPr>
          <w:rFonts w:hint="eastAsia" w:ascii="仿宋_GB2312" w:hAnsi="仿宋_GB2312" w:eastAsia="仿宋_GB2312" w:cs="仿宋_GB2312"/>
          <w:sz w:val="24"/>
          <w:szCs w:val="24"/>
          <w:u w:val="single"/>
        </w:rPr>
        <w:t xml:space="preserve">                                       </w:t>
      </w:r>
    </w:p>
    <w:tbl>
      <w:tblPr>
        <w:tblStyle w:val="38"/>
        <w:tblW w:w="8168"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1331"/>
        <w:gridCol w:w="1015"/>
        <w:gridCol w:w="1145"/>
        <w:gridCol w:w="1182"/>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2313" w:type="dxa"/>
            <w:shd w:val="clear" w:color="auto" w:fill="auto"/>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设备名称</w:t>
            </w:r>
          </w:p>
        </w:tc>
        <w:tc>
          <w:tcPr>
            <w:tcW w:w="1331" w:type="dxa"/>
            <w:shd w:val="clear" w:color="auto" w:fill="auto"/>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规格</w:t>
            </w:r>
          </w:p>
        </w:tc>
        <w:tc>
          <w:tcPr>
            <w:tcW w:w="1015" w:type="dxa"/>
            <w:shd w:val="clear" w:color="auto" w:fill="auto"/>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数量</w:t>
            </w:r>
          </w:p>
        </w:tc>
        <w:tc>
          <w:tcPr>
            <w:tcW w:w="1145" w:type="dxa"/>
            <w:shd w:val="clear" w:color="auto" w:fill="auto"/>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所投品牌型号</w:t>
            </w:r>
          </w:p>
        </w:tc>
        <w:tc>
          <w:tcPr>
            <w:tcW w:w="1182" w:type="dxa"/>
            <w:shd w:val="clear" w:color="auto" w:fill="auto"/>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单价</w:t>
            </w:r>
          </w:p>
        </w:tc>
        <w:tc>
          <w:tcPr>
            <w:tcW w:w="1182" w:type="dxa"/>
            <w:shd w:val="clear" w:color="auto" w:fill="auto"/>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2313" w:type="dxa"/>
            <w:shd w:val="clear" w:color="auto" w:fill="auto"/>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10.5KV 发电机组</w:t>
            </w:r>
          </w:p>
        </w:tc>
        <w:tc>
          <w:tcPr>
            <w:tcW w:w="1331" w:type="dxa"/>
            <w:shd w:val="clear" w:color="auto" w:fill="auto"/>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1800KW PRP功率</w:t>
            </w:r>
          </w:p>
        </w:tc>
        <w:tc>
          <w:tcPr>
            <w:tcW w:w="1015" w:type="dxa"/>
            <w:shd w:val="clear" w:color="auto" w:fill="auto"/>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3台</w:t>
            </w:r>
          </w:p>
        </w:tc>
        <w:tc>
          <w:tcPr>
            <w:tcW w:w="1145" w:type="dxa"/>
            <w:shd w:val="clear" w:color="auto" w:fill="auto"/>
          </w:tcPr>
          <w:p>
            <w:pPr>
              <w:widowControl/>
              <w:jc w:val="center"/>
              <w:rPr>
                <w:rFonts w:hint="eastAsia" w:ascii="仿宋_GB2312" w:hAnsi="仿宋_GB2312" w:eastAsia="仿宋_GB2312" w:cs="仿宋_GB2312"/>
                <w:kern w:val="0"/>
                <w:szCs w:val="21"/>
              </w:rPr>
            </w:pPr>
          </w:p>
        </w:tc>
        <w:tc>
          <w:tcPr>
            <w:tcW w:w="1182" w:type="dxa"/>
            <w:shd w:val="clear" w:color="auto" w:fill="auto"/>
          </w:tcPr>
          <w:p>
            <w:pPr>
              <w:widowControl/>
              <w:jc w:val="center"/>
              <w:rPr>
                <w:rFonts w:hint="eastAsia" w:ascii="仿宋_GB2312" w:hAnsi="仿宋_GB2312" w:eastAsia="仿宋_GB2312" w:cs="仿宋_GB2312"/>
                <w:kern w:val="0"/>
                <w:szCs w:val="21"/>
              </w:rPr>
            </w:pPr>
          </w:p>
        </w:tc>
        <w:tc>
          <w:tcPr>
            <w:tcW w:w="1182" w:type="dxa"/>
            <w:shd w:val="clear" w:color="auto" w:fill="auto"/>
          </w:tcPr>
          <w:p>
            <w:pPr>
              <w:widowControl/>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7" w:hRule="atLeast"/>
        </w:trPr>
        <w:tc>
          <w:tcPr>
            <w:tcW w:w="2313" w:type="dxa"/>
            <w:shd w:val="clear" w:color="auto" w:fill="auto"/>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并机主控柜（每台配备独立PLC和触摸屏）</w:t>
            </w:r>
          </w:p>
        </w:tc>
        <w:tc>
          <w:tcPr>
            <w:tcW w:w="1331" w:type="dxa"/>
            <w:shd w:val="clear" w:color="auto" w:fill="auto"/>
          </w:tcPr>
          <w:p>
            <w:pPr>
              <w:widowControl/>
              <w:jc w:val="center"/>
              <w:rPr>
                <w:rFonts w:hint="eastAsia" w:ascii="仿宋_GB2312" w:hAnsi="仿宋_GB2312" w:eastAsia="仿宋_GB2312" w:cs="仿宋_GB2312"/>
                <w:kern w:val="0"/>
                <w:szCs w:val="21"/>
              </w:rPr>
            </w:pPr>
          </w:p>
        </w:tc>
        <w:tc>
          <w:tcPr>
            <w:tcW w:w="1015" w:type="dxa"/>
            <w:shd w:val="clear" w:color="auto" w:fill="auto"/>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2台（互为主备）</w:t>
            </w:r>
          </w:p>
        </w:tc>
        <w:tc>
          <w:tcPr>
            <w:tcW w:w="1145" w:type="dxa"/>
            <w:shd w:val="clear" w:color="auto" w:fill="auto"/>
          </w:tcPr>
          <w:p>
            <w:pPr>
              <w:widowControl/>
              <w:jc w:val="center"/>
              <w:rPr>
                <w:rFonts w:hint="eastAsia" w:ascii="仿宋_GB2312" w:hAnsi="仿宋_GB2312" w:eastAsia="仿宋_GB2312" w:cs="仿宋_GB2312"/>
                <w:kern w:val="0"/>
                <w:szCs w:val="21"/>
              </w:rPr>
            </w:pPr>
          </w:p>
        </w:tc>
        <w:tc>
          <w:tcPr>
            <w:tcW w:w="1182" w:type="dxa"/>
            <w:shd w:val="clear" w:color="auto" w:fill="auto"/>
          </w:tcPr>
          <w:p>
            <w:pPr>
              <w:widowControl/>
              <w:jc w:val="center"/>
              <w:rPr>
                <w:rFonts w:hint="eastAsia" w:ascii="仿宋_GB2312" w:hAnsi="仿宋_GB2312" w:eastAsia="仿宋_GB2312" w:cs="仿宋_GB2312"/>
                <w:kern w:val="0"/>
                <w:szCs w:val="21"/>
              </w:rPr>
            </w:pPr>
          </w:p>
        </w:tc>
        <w:tc>
          <w:tcPr>
            <w:tcW w:w="1182" w:type="dxa"/>
            <w:shd w:val="clear" w:color="auto" w:fill="auto"/>
          </w:tcPr>
          <w:p>
            <w:pPr>
              <w:widowControl/>
              <w:jc w:val="center"/>
              <w:rPr>
                <w:rFonts w:hint="eastAsia" w:ascii="仿宋_GB2312" w:hAnsi="仿宋_GB2312" w:eastAsia="仿宋_GB2312" w:cs="仿宋_GB2312"/>
                <w:kern w:val="0"/>
                <w:szCs w:val="21"/>
              </w:rPr>
            </w:pPr>
          </w:p>
        </w:tc>
      </w:tr>
    </w:tbl>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所有设备必须提供生产厂商质保</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至少3年</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，质保期过后，投标方承诺设备每年的延保费用不超过设备本身价格的</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w:t>
      </w:r>
    </w:p>
    <w:p>
      <w:pPr>
        <w:autoSpaceDE w:val="0"/>
        <w:autoSpaceDN w:val="0"/>
        <w:spacing w:line="360" w:lineRule="auto"/>
        <w:rPr>
          <w:rFonts w:hint="eastAsia" w:ascii="仿宋_GB2312" w:hAnsi="仿宋_GB2312" w:eastAsia="仿宋_GB2312" w:cs="仿宋_GB2312"/>
          <w:szCs w:val="24"/>
        </w:rPr>
      </w:pPr>
      <w:r>
        <w:rPr>
          <w:rFonts w:hint="eastAsia" w:ascii="仿宋_GB2312" w:hAnsi="仿宋_GB2312" w:eastAsia="仿宋_GB2312" w:cs="仿宋_GB2312"/>
          <w:sz w:val="24"/>
          <w:szCs w:val="24"/>
        </w:rPr>
        <w:t>注：此表与投标书一同装入信封内密封。投标人承诺认为是最完善的售后服务。投标项目总价需含配套软硬件、培训、运保费、安装费及安装材料费、第三方产品费及技术服务费等全部费用。投标项目总价包括投标人为完成本项目所发生的一切费用</w:t>
      </w:r>
      <w:r>
        <w:rPr>
          <w:rFonts w:hint="eastAsia" w:ascii="仿宋_GB2312" w:hAnsi="仿宋_GB2312" w:eastAsia="仿宋_GB2312" w:cs="仿宋_GB2312"/>
          <w:szCs w:val="24"/>
        </w:rPr>
        <w:t>。</w:t>
      </w:r>
    </w:p>
    <w:p>
      <w:pPr>
        <w:autoSpaceDE w:val="0"/>
        <w:autoSpaceDN w:val="0"/>
        <w:spacing w:line="360" w:lineRule="auto"/>
        <w:rPr>
          <w:rFonts w:hint="eastAsia" w:ascii="仿宋_GB2312" w:hAnsi="仿宋_GB2312" w:eastAsia="仿宋_GB2312" w:cs="仿宋_GB2312"/>
          <w:sz w:val="24"/>
          <w:szCs w:val="24"/>
        </w:rPr>
      </w:pPr>
    </w:p>
    <w:p>
      <w:pPr>
        <w:autoSpaceDE w:val="0"/>
        <w:autoSpaceDN w:val="0"/>
        <w:spacing w:line="360" w:lineRule="auto"/>
        <w:rPr>
          <w:rFonts w:hint="eastAsia" w:ascii="仿宋_GB2312" w:hAnsi="仿宋_GB2312" w:eastAsia="仿宋_GB2312" w:cs="仿宋_GB2312"/>
          <w:sz w:val="24"/>
          <w:szCs w:val="24"/>
        </w:rPr>
      </w:pPr>
    </w:p>
    <w:p>
      <w:pPr>
        <w:autoSpaceDE w:val="0"/>
        <w:autoSpaceDN w:val="0"/>
        <w:spacing w:line="360" w:lineRule="auto"/>
        <w:rPr>
          <w:rFonts w:hint="eastAsia" w:ascii="仿宋_GB2312" w:hAnsi="仿宋_GB2312" w:eastAsia="仿宋_GB2312" w:cs="仿宋_GB2312"/>
          <w:sz w:val="24"/>
          <w:szCs w:val="24"/>
        </w:rPr>
      </w:pPr>
    </w:p>
    <w:p>
      <w:pPr>
        <w:autoSpaceDE w:val="0"/>
        <w:autoSpaceDN w:val="0"/>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法定代表人或其授权的代表签字：                 </w:t>
      </w:r>
    </w:p>
    <w:p>
      <w:pPr>
        <w:autoSpaceDE w:val="0"/>
        <w:autoSpaceDN w:val="0"/>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日 期：                </w:t>
      </w:r>
    </w:p>
    <w:p>
      <w:pPr>
        <w:autoSpaceDE w:val="0"/>
        <w:autoSpaceDN w:val="0"/>
        <w:spacing w:line="360" w:lineRule="auto"/>
        <w:rPr>
          <w:rFonts w:hint="eastAsia" w:ascii="仿宋_GB2312" w:hAnsi="仿宋_GB2312" w:eastAsia="仿宋_GB2312" w:cs="仿宋_GB2312"/>
          <w:bCs/>
          <w:sz w:val="24"/>
          <w:szCs w:val="24"/>
          <w:u w:val="single"/>
        </w:rPr>
      </w:pPr>
    </w:p>
    <w:p>
      <w:pPr>
        <w:autoSpaceDE w:val="0"/>
        <w:autoSpaceDN w:val="0"/>
        <w:spacing w:line="360" w:lineRule="auto"/>
        <w:rPr>
          <w:rFonts w:hint="eastAsia" w:ascii="仿宋_GB2312" w:hAnsi="仿宋_GB2312" w:eastAsia="仿宋_GB2312" w:cs="仿宋_GB2312"/>
          <w:bCs/>
          <w:sz w:val="24"/>
          <w:szCs w:val="24"/>
          <w:u w:val="single"/>
        </w:rPr>
      </w:pPr>
    </w:p>
    <w:p>
      <w:pPr>
        <w:autoSpaceDE w:val="0"/>
        <w:autoSpaceDN w:val="0"/>
        <w:spacing w:line="360" w:lineRule="auto"/>
        <w:rPr>
          <w:rFonts w:hint="eastAsia" w:ascii="仿宋_GB2312" w:hAnsi="仿宋_GB2312" w:eastAsia="仿宋_GB2312" w:cs="仿宋_GB2312"/>
          <w:b/>
          <w:bCs w:val="0"/>
          <w:sz w:val="24"/>
          <w:szCs w:val="24"/>
          <w:u w:val="single"/>
        </w:rPr>
      </w:pPr>
    </w:p>
    <w:p>
      <w:pPr>
        <w:autoSpaceDE w:val="0"/>
        <w:autoSpaceDN w:val="0"/>
        <w:spacing w:line="360" w:lineRule="auto"/>
        <w:rPr>
          <w:rFonts w:hint="eastAsia" w:ascii="仿宋_GB2312" w:hAnsi="仿宋_GB2312" w:eastAsia="仿宋_GB2312" w:cs="仿宋_GB2312"/>
          <w:b/>
          <w:bCs w:val="0"/>
          <w:sz w:val="24"/>
          <w:szCs w:val="24"/>
          <w:u w:val="single"/>
        </w:rPr>
      </w:pPr>
    </w:p>
    <w:p>
      <w:pPr>
        <w:autoSpaceDE w:val="0"/>
        <w:autoSpaceDN w:val="0"/>
        <w:spacing w:line="360" w:lineRule="auto"/>
        <w:rPr>
          <w:rFonts w:hint="eastAsia" w:ascii="仿宋_GB2312" w:hAnsi="仿宋_GB2312" w:eastAsia="仿宋_GB2312" w:cs="仿宋_GB2312"/>
          <w:b/>
          <w:bCs w:val="0"/>
          <w:sz w:val="24"/>
          <w:szCs w:val="24"/>
          <w:u w:val="single"/>
        </w:rPr>
      </w:pPr>
      <w:r>
        <w:rPr>
          <w:rFonts w:hint="eastAsia" w:ascii="仿宋_GB2312" w:hAnsi="仿宋_GB2312" w:eastAsia="仿宋_GB2312" w:cs="仿宋_GB2312"/>
          <w:b/>
          <w:bCs w:val="0"/>
          <w:sz w:val="24"/>
          <w:szCs w:val="24"/>
          <w:u w:val="single"/>
        </w:rPr>
        <w:t>此页投标价格清单需独立密封包装，并且不允许出现在投标文件正副本和电子版文件中。</w:t>
      </w:r>
    </w:p>
    <w:p>
      <w:pPr>
        <w:autoSpaceDE w:val="0"/>
        <w:autoSpaceDN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附件4：《法定代表人委托书》</w:t>
      </w:r>
    </w:p>
    <w:p>
      <w:pPr>
        <w:tabs>
          <w:tab w:val="left" w:pos="8280"/>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napToGrid w:val="0"/>
          <w:sz w:val="28"/>
        </w:rPr>
        <w:t>江苏常熟农村商业银行股份有限公司</w:t>
      </w:r>
      <w:r>
        <w:rPr>
          <w:rFonts w:hint="eastAsia" w:ascii="仿宋_GB2312" w:hAnsi="仿宋_GB2312" w:eastAsia="仿宋_GB2312" w:cs="仿宋_GB2312"/>
          <w:sz w:val="28"/>
          <w:szCs w:val="28"/>
        </w:rPr>
        <w:t>：</w:t>
      </w:r>
    </w:p>
    <w:p>
      <w:pPr>
        <w:tabs>
          <w:tab w:val="left" w:pos="8280"/>
        </w:tabs>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兹委托</w:t>
      </w:r>
      <w:r>
        <w:rPr>
          <w:rFonts w:hint="eastAsia" w:ascii="仿宋_GB2312" w:hAnsi="仿宋_GB2312" w:eastAsia="仿宋_GB2312" w:cs="仿宋_GB2312"/>
          <w:sz w:val="28"/>
          <w:szCs w:val="28"/>
          <w:u w:val="single"/>
        </w:rPr>
        <w:t xml:space="preserve">         (代理人姓名)</w:t>
      </w:r>
      <w:r>
        <w:rPr>
          <w:rFonts w:hint="eastAsia" w:ascii="仿宋_GB2312" w:hAnsi="仿宋_GB2312" w:eastAsia="仿宋_GB2312" w:cs="仿宋_GB2312"/>
          <w:sz w:val="28"/>
          <w:szCs w:val="28"/>
        </w:rPr>
        <w:t>参加贵单位组织的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招标活动，全权代表我单位处理投标的有关事宜。</w:t>
      </w:r>
    </w:p>
    <w:p>
      <w:pPr>
        <w:tabs>
          <w:tab w:val="left" w:pos="8280"/>
        </w:tabs>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附全权代表情况：</w:t>
      </w:r>
    </w:p>
    <w:p>
      <w:pPr>
        <w:tabs>
          <w:tab w:val="left" w:pos="8280"/>
        </w:tabs>
        <w:spacing w:line="360" w:lineRule="auto"/>
        <w:ind w:firstLine="48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姓名：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rPr>
        <w:t xml:space="preserve">          </w:t>
      </w:r>
    </w:p>
    <w:p>
      <w:pPr>
        <w:tabs>
          <w:tab w:val="left" w:pos="8280"/>
        </w:tabs>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身份证号码：</w:t>
      </w:r>
      <w:r>
        <w:rPr>
          <w:rFonts w:hint="eastAsia" w:ascii="仿宋_GB2312" w:hAnsi="仿宋_GB2312" w:eastAsia="仿宋_GB2312" w:cs="仿宋_GB2312"/>
          <w:sz w:val="28"/>
          <w:szCs w:val="28"/>
          <w:u w:val="single"/>
        </w:rPr>
        <w:t xml:space="preserve">                                            </w:t>
      </w:r>
    </w:p>
    <w:p>
      <w:pPr>
        <w:tabs>
          <w:tab w:val="left" w:pos="8280"/>
        </w:tabs>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详细通讯地址： </w:t>
      </w:r>
      <w:r>
        <w:rPr>
          <w:rFonts w:hint="eastAsia" w:ascii="仿宋_GB2312" w:hAnsi="仿宋_GB2312" w:eastAsia="仿宋_GB2312" w:cs="仿宋_GB2312"/>
          <w:sz w:val="28"/>
          <w:szCs w:val="28"/>
          <w:u w:val="single"/>
        </w:rPr>
        <w:t xml:space="preserve">                                         </w:t>
      </w:r>
    </w:p>
    <w:p>
      <w:pPr>
        <w:tabs>
          <w:tab w:val="left" w:pos="8280"/>
        </w:tabs>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传真：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tabs>
          <w:tab w:val="left" w:pos="8280"/>
        </w:tabs>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邮政编码：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tabs>
          <w:tab w:val="left" w:pos="8280"/>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单位名称（公章）                        法定代表人（签字）</w:t>
      </w:r>
    </w:p>
    <w:p>
      <w:pPr>
        <w:tabs>
          <w:tab w:val="left" w:pos="8280"/>
        </w:tabs>
        <w:spacing w:line="360" w:lineRule="auto"/>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                         年   月    日     </w:t>
      </w:r>
    </w:p>
    <w:p>
      <w:pPr>
        <w:tabs>
          <w:tab w:val="left" w:pos="828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（说明：法定代表人参加投标，不用此委托书）</w:t>
      </w:r>
    </w:p>
    <w:p>
      <w:pPr>
        <w:pStyle w:val="47"/>
        <w:adjustRightInd w:val="0"/>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r>
        <w:rPr>
          <w:rFonts w:hint="eastAsia" w:ascii="仿宋_GB2312" w:hAnsi="仿宋_GB2312" w:eastAsia="仿宋_GB2312" w:cs="仿宋_GB2312"/>
          <w:snapToGrid w:val="0"/>
          <w:sz w:val="28"/>
          <w:szCs w:val="28"/>
        </w:rPr>
        <w:t>附件5：外包服务供应商（指投标方本身）风险信息表</w:t>
      </w:r>
    </w:p>
    <w:p>
      <w:pPr>
        <w:jc w:val="center"/>
        <w:rPr>
          <w:rFonts w:hint="eastAsia" w:ascii="仿宋_GB2312" w:hAnsi="仿宋_GB2312" w:eastAsia="仿宋_GB2312" w:cs="仿宋_GB2312"/>
          <w:b/>
          <w:snapToGrid w:val="0"/>
          <w:sz w:val="32"/>
          <w:szCs w:val="32"/>
        </w:rPr>
      </w:pPr>
      <w:r>
        <w:rPr>
          <w:rFonts w:hint="eastAsia" w:ascii="仿宋_GB2312" w:hAnsi="仿宋_GB2312" w:eastAsia="仿宋_GB2312" w:cs="仿宋_GB2312"/>
          <w:b/>
          <w:snapToGrid w:val="0"/>
          <w:sz w:val="32"/>
          <w:szCs w:val="32"/>
        </w:rPr>
        <w:t>外包服务供应商风险信息表</w:t>
      </w:r>
    </w:p>
    <w:tbl>
      <w:tblPr>
        <w:tblStyle w:val="38"/>
        <w:tblW w:w="8331"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451"/>
        <w:gridCol w:w="58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5" w:hRule="atLeast"/>
          <w:jc w:val="center"/>
        </w:trPr>
        <w:tc>
          <w:tcPr>
            <w:tcW w:w="2451" w:type="dxa"/>
            <w:vAlign w:val="center"/>
          </w:tcPr>
          <w:p>
            <w:p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服务供应商名称</w:t>
            </w:r>
          </w:p>
        </w:tc>
        <w:tc>
          <w:tcPr>
            <w:tcW w:w="5880" w:type="dxa"/>
            <w:vAlign w:val="center"/>
          </w:tcPr>
          <w:p>
            <w:pPr>
              <w:spacing w:line="320" w:lineRule="exact"/>
              <w:jc w:val="left"/>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10" w:hRule="atLeast"/>
          <w:jc w:val="center"/>
        </w:trPr>
        <w:tc>
          <w:tcPr>
            <w:tcW w:w="8331" w:type="dxa"/>
            <w:gridSpan w:val="2"/>
            <w:vAlign w:val="center"/>
          </w:tcPr>
          <w:p>
            <w:p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服务供应商基本情况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65" w:hRule="atLeast"/>
          <w:jc w:val="center"/>
        </w:trPr>
        <w:tc>
          <w:tcPr>
            <w:tcW w:w="2451" w:type="dxa"/>
            <w:vAlign w:val="center"/>
          </w:tcPr>
          <w:p>
            <w:p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1.服务供应商成立时间及其发展历程</w:t>
            </w:r>
          </w:p>
        </w:tc>
        <w:tc>
          <w:tcPr>
            <w:tcW w:w="5880" w:type="dxa"/>
          </w:tcPr>
          <w:p>
            <w:pPr>
              <w:spacing w:line="320" w:lineRule="exact"/>
              <w:jc w:val="left"/>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31" w:hRule="atLeast"/>
          <w:jc w:val="center"/>
        </w:trPr>
        <w:tc>
          <w:tcPr>
            <w:tcW w:w="2451"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2.服务供应商的主要股东</w:t>
            </w:r>
          </w:p>
        </w:tc>
        <w:tc>
          <w:tcPr>
            <w:tcW w:w="5880" w:type="dxa"/>
            <w:vAlign w:val="center"/>
          </w:tcPr>
          <w:p>
            <w:pPr>
              <w:spacing w:line="320" w:lineRule="exact"/>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50" w:hRule="atLeast"/>
          <w:jc w:val="center"/>
        </w:trPr>
        <w:tc>
          <w:tcPr>
            <w:tcW w:w="2451" w:type="dxa"/>
            <w:shd w:val="clear" w:color="auto" w:fill="auto"/>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3.服务供应商的主要经营范围</w:t>
            </w:r>
          </w:p>
        </w:tc>
        <w:tc>
          <w:tcPr>
            <w:tcW w:w="5880" w:type="dxa"/>
            <w:shd w:val="clear" w:color="auto" w:fill="FFFFFF"/>
          </w:tcPr>
          <w:p>
            <w:pPr>
              <w:spacing w:line="320" w:lineRule="exact"/>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545" w:hRule="atLeast"/>
          <w:jc w:val="center"/>
        </w:trPr>
        <w:tc>
          <w:tcPr>
            <w:tcW w:w="2451"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4.服务供应商的企业性质（内资企业/港澳台商投资企业/外商投资企业/境外企业）</w:t>
            </w:r>
          </w:p>
        </w:tc>
        <w:tc>
          <w:tcPr>
            <w:tcW w:w="5880" w:type="dxa"/>
            <w:vAlign w:val="center"/>
          </w:tcPr>
          <w:p>
            <w:pPr>
              <w:spacing w:line="320" w:lineRule="exact"/>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100" w:hRule="atLeast"/>
          <w:jc w:val="center"/>
        </w:trPr>
        <w:tc>
          <w:tcPr>
            <w:tcW w:w="2451"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5.服务供应商近三年资产规模、主要收入、盈利状况</w:t>
            </w:r>
          </w:p>
        </w:tc>
        <w:tc>
          <w:tcPr>
            <w:tcW w:w="5880"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75" w:hRule="atLeast"/>
          <w:jc w:val="center"/>
        </w:trPr>
        <w:tc>
          <w:tcPr>
            <w:tcW w:w="2451"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6.服务供应商目前员工人数、人员学历结构</w:t>
            </w:r>
          </w:p>
        </w:tc>
        <w:tc>
          <w:tcPr>
            <w:tcW w:w="5880"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05" w:hRule="atLeast"/>
          <w:jc w:val="center"/>
        </w:trPr>
        <w:tc>
          <w:tcPr>
            <w:tcW w:w="2451"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7.列举同业提供类似性质和规模的服务经验</w:t>
            </w:r>
          </w:p>
        </w:tc>
        <w:tc>
          <w:tcPr>
            <w:tcW w:w="5880" w:type="dxa"/>
            <w:vAlign w:val="center"/>
          </w:tcPr>
          <w:p>
            <w:pPr>
              <w:spacing w:line="320" w:lineRule="exact"/>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000" w:hRule="atLeast"/>
          <w:jc w:val="center"/>
        </w:trPr>
        <w:tc>
          <w:tcPr>
            <w:tcW w:w="2451"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8.列举在最近三年的经营活动中违法违纪等不良记录（如有）</w:t>
            </w:r>
          </w:p>
        </w:tc>
        <w:tc>
          <w:tcPr>
            <w:tcW w:w="5880"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10" w:hRule="atLeast"/>
          <w:jc w:val="center"/>
        </w:trPr>
        <w:tc>
          <w:tcPr>
            <w:tcW w:w="2451" w:type="dxa"/>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9.提供服务供应商业务连续性安排和应急预案</w:t>
            </w:r>
          </w:p>
        </w:tc>
        <w:tc>
          <w:tcPr>
            <w:tcW w:w="5880" w:type="dxa"/>
            <w:vAlign w:val="center"/>
          </w:tcPr>
          <w:p>
            <w:pPr>
              <w:spacing w:line="320" w:lineRule="exact"/>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jc w:val="center"/>
        </w:trPr>
        <w:tc>
          <w:tcPr>
            <w:tcW w:w="8331" w:type="dxa"/>
            <w:gridSpan w:val="2"/>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xml:space="preserve">服务供应商（盖章）：                                </w:t>
            </w:r>
          </w:p>
          <w:p>
            <w:pPr>
              <w:spacing w:line="320" w:lineRule="exact"/>
              <w:rPr>
                <w:rFonts w:hint="eastAsia" w:ascii="仿宋_GB2312" w:hAnsi="仿宋_GB2312" w:eastAsia="仿宋_GB2312" w:cs="仿宋_GB2312"/>
                <w:sz w:val="24"/>
                <w:szCs w:val="24"/>
              </w:rPr>
            </w:pPr>
          </w:p>
          <w:p>
            <w:pPr>
              <w:spacing w:line="320" w:lineRule="exact"/>
              <w:rPr>
                <w:rFonts w:hint="eastAsia" w:ascii="仿宋_GB2312" w:hAnsi="仿宋_GB2312" w:eastAsia="仿宋_GB2312" w:cs="仿宋_GB2312"/>
                <w:sz w:val="24"/>
                <w:szCs w:val="24"/>
              </w:rPr>
            </w:pPr>
          </w:p>
          <w:p>
            <w:pPr>
              <w:spacing w:line="320" w:lineRule="exact"/>
              <w:rPr>
                <w:rFonts w:hint="eastAsia" w:ascii="仿宋_GB2312" w:hAnsi="仿宋_GB2312" w:eastAsia="仿宋_GB2312" w:cs="仿宋_GB2312"/>
                <w:sz w:val="24"/>
                <w:szCs w:val="24"/>
              </w:rPr>
            </w:pPr>
          </w:p>
          <w:p>
            <w:pPr>
              <w:spacing w:line="320" w:lineRule="exact"/>
              <w:rPr>
                <w:rFonts w:hint="eastAsia" w:ascii="仿宋_GB2312" w:hAnsi="仿宋_GB2312" w:eastAsia="仿宋_GB2312" w:cs="仿宋_GB2312"/>
                <w:sz w:val="24"/>
                <w:szCs w:val="24"/>
              </w:rPr>
            </w:pPr>
          </w:p>
          <w:p>
            <w:p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xml:space="preserve">                                      </w:t>
            </w:r>
          </w:p>
        </w:tc>
      </w:tr>
    </w:tbl>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pStyle w:val="47"/>
        <w:adjustRightInd w:val="0"/>
        <w:outlineLvl w:val="1"/>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附件6：相关设计图纸，请联系招标技术联系人索取。</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长城仿宋">
    <w:altName w:val="黑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BIAODIAN">
    <w:altName w:val="Times New Roman"/>
    <w:panose1 w:val="00000000000000000000"/>
    <w:charset w:val="00"/>
    <w:family w:val="roman"/>
    <w:pitch w:val="default"/>
    <w:sig w:usb0="00000000" w:usb1="00000000" w:usb2="00000000" w:usb3="00000000" w:csb0="00000001" w:csb1="00000000"/>
  </w:font>
  <w:font w:name="彩虹粗仿宋">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华文中宋">
    <w:altName w:val="宋体"/>
    <w:panose1 w:val="02010600040101010101"/>
    <w:charset w:val="86"/>
    <w:family w:val="auto"/>
    <w:pitch w:val="default"/>
    <w:sig w:usb0="00000000" w:usb1="00000000" w:usb2="00000010" w:usb3="00000000" w:csb0="0004009F" w:csb1="00000000"/>
  </w:font>
  <w:font w:name="Arial Unicode MS">
    <w:altName w:val="Arial"/>
    <w:panose1 w:val="020B0604020202020204"/>
    <w:charset w:val="00"/>
    <w:family w:val="roman"/>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5</w:t>
    </w:r>
    <w:r>
      <w:fldChar w:fldCharType="end"/>
    </w:r>
  </w:p>
  <w:p>
    <w:pPr>
      <w:pStyle w:val="2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4" w:space="1"/>
      </w:pBdr>
      <w:ind w:firstLine="4680" w:firstLineChars="2600"/>
    </w:pPr>
    <w:r>
      <w:rPr>
        <w:rFonts w:hint="eastAsia" w:ascii="仿宋" w:hAnsi="仿宋" w:eastAsia="仿宋" w:cs="仿宋"/>
      </w:rPr>
      <w:t>常熟农商银行科技项目招标书 2021年7月版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5FA37C"/>
    <w:multiLevelType w:val="multilevel"/>
    <w:tmpl w:val="8A5FA37C"/>
    <w:lvl w:ilvl="0" w:tentative="0">
      <w:start w:val="1"/>
      <w:numFmt w:val="chineseCountingThousand"/>
      <w:lvlText w:val="%1、"/>
      <w:lvlJc w:val="left"/>
      <w:pPr>
        <w:ind w:left="0" w:hanging="425"/>
      </w:pPr>
      <w:rPr>
        <w:rFonts w:hint="default"/>
        <w:b w:val="0"/>
        <w:color w:val="000000"/>
        <w:w w:val="0"/>
      </w:rPr>
    </w:lvl>
    <w:lvl w:ilvl="1" w:tentative="0">
      <w:start w:val="1"/>
      <w:numFmt w:val="decimal"/>
      <w:lvlText w:val="%1.%2."/>
      <w:lvlJc w:val="left"/>
      <w:pPr>
        <w:ind w:left="567" w:hanging="567"/>
      </w:pPr>
      <w:rPr>
        <w:rFonts w:hint="default" w:ascii="Times New Roman" w:hAnsi="Times New Roman"/>
        <w:b w:val="0"/>
        <w:color w:val="000000"/>
        <w:w w:val="0"/>
      </w:rPr>
    </w:lvl>
    <w:lvl w:ilvl="2" w:tentative="0">
      <w:start w:val="1"/>
      <w:numFmt w:val="decimal"/>
      <w:lvlText w:val="%1.%2.%3."/>
      <w:lvlJc w:val="left"/>
      <w:pPr>
        <w:ind w:left="709" w:hanging="709"/>
      </w:pPr>
      <w:rPr>
        <w:rFonts w:hint="default" w:ascii="Times New Roman" w:hAnsi="Times New Roman"/>
        <w:b w:val="0"/>
        <w:w w:val="100"/>
      </w:rPr>
    </w:lvl>
    <w:lvl w:ilvl="3" w:tentative="0">
      <w:start w:val="1"/>
      <w:numFmt w:val="decimal"/>
      <w:lvlText w:val="%1.%2.%3.%4."/>
      <w:lvlJc w:val="left"/>
      <w:pPr>
        <w:ind w:left="851" w:hanging="851"/>
      </w:pPr>
      <w:rPr>
        <w:rFonts w:hint="default"/>
        <w:w w:val="100"/>
      </w:rPr>
    </w:lvl>
    <w:lvl w:ilvl="4" w:tentative="0">
      <w:start w:val="1"/>
      <w:numFmt w:val="decimal"/>
      <w:lvlText w:val="%1.%2.%3.%4.%5."/>
      <w:lvlJc w:val="left"/>
      <w:pPr>
        <w:ind w:left="992" w:hanging="992"/>
      </w:pPr>
      <w:rPr>
        <w:rFonts w:hint="default"/>
        <w:color w:val="000000"/>
        <w:w w:val="100"/>
      </w:rPr>
    </w:lvl>
    <w:lvl w:ilvl="5" w:tentative="0">
      <w:start w:val="1"/>
      <w:numFmt w:val="decimal"/>
      <w:lvlText w:val="%6)"/>
      <w:lvlJc w:val="left"/>
      <w:pPr>
        <w:ind w:left="1134" w:hanging="567"/>
      </w:pPr>
      <w:rPr>
        <w:rFonts w:hint="default"/>
        <w:b w:val="0"/>
        <w:w w:val="100"/>
      </w:rPr>
    </w:lvl>
    <w:lvl w:ilvl="6" w:tentative="0">
      <w:start w:val="1"/>
      <w:numFmt w:val="lowerLetter"/>
      <w:lvlText w:val="%7)"/>
      <w:lvlJc w:val="left"/>
      <w:pPr>
        <w:ind w:left="1701" w:hanging="567"/>
      </w:pPr>
      <w:rPr>
        <w:rFonts w:hint="default"/>
        <w:w w:val="100"/>
      </w:rPr>
    </w:lvl>
    <w:lvl w:ilvl="7" w:tentative="0">
      <w:start w:val="1"/>
      <w:numFmt w:val="lowerRoman"/>
      <w:lvlText w:val="%8)"/>
      <w:lvlJc w:val="left"/>
      <w:pPr>
        <w:ind w:left="2268" w:hanging="567"/>
      </w:pPr>
      <w:rPr>
        <w:rFonts w:hint="default"/>
        <w:w w:val="100"/>
      </w:rPr>
    </w:lvl>
    <w:lvl w:ilvl="8" w:tentative="0">
      <w:start w:val="1"/>
      <w:numFmt w:val="bullet"/>
      <w:lvlText w:val="¨"/>
      <w:lvlJc w:val="left"/>
      <w:pPr>
        <w:ind w:left="25515" w:hanging="567"/>
      </w:pPr>
      <w:rPr>
        <w:rFonts w:hint="default" w:ascii="Symbol" w:hAnsi="Symbol"/>
        <w:w w:val="100"/>
      </w:rPr>
    </w:lvl>
  </w:abstractNum>
  <w:abstractNum w:abstractNumId="1">
    <w:nsid w:val="8B9AE391"/>
    <w:multiLevelType w:val="multilevel"/>
    <w:tmpl w:val="8B9AE391"/>
    <w:lvl w:ilvl="0" w:tentative="0">
      <w:start w:val="1"/>
      <w:numFmt w:val="lowerLetter"/>
      <w:lvlText w:val="%1)"/>
      <w:lvlJc w:val="left"/>
      <w:pPr>
        <w:ind w:left="560" w:hanging="420"/>
      </w:pPr>
      <w:rPr>
        <w:rFonts w:hint="default"/>
        <w:w w:val="100"/>
      </w:rPr>
    </w:lvl>
    <w:lvl w:ilvl="1" w:tentative="0">
      <w:start w:val="1"/>
      <w:numFmt w:val="lowerLetter"/>
      <w:lvlText w:val="%2)"/>
      <w:lvlJc w:val="left"/>
      <w:pPr>
        <w:ind w:left="1400" w:hanging="420"/>
      </w:pPr>
      <w:rPr>
        <w:rFonts w:hint="default"/>
        <w:w w:val="100"/>
      </w:rPr>
    </w:lvl>
    <w:lvl w:ilvl="2" w:tentative="0">
      <w:start w:val="1"/>
      <w:numFmt w:val="lowerRoman"/>
      <w:lvlText w:val="%3."/>
      <w:lvlJc w:val="right"/>
      <w:pPr>
        <w:ind w:left="1820" w:hanging="420"/>
      </w:pPr>
      <w:rPr>
        <w:rFonts w:hint="default"/>
        <w:w w:val="100"/>
      </w:rPr>
    </w:lvl>
    <w:lvl w:ilvl="3" w:tentative="0">
      <w:start w:val="1"/>
      <w:numFmt w:val="decimal"/>
      <w:lvlText w:val="%4."/>
      <w:lvlJc w:val="left"/>
      <w:pPr>
        <w:ind w:left="2240" w:hanging="420"/>
      </w:pPr>
      <w:rPr>
        <w:rFonts w:hint="default"/>
        <w:w w:val="100"/>
      </w:rPr>
    </w:lvl>
    <w:lvl w:ilvl="4" w:tentative="0">
      <w:start w:val="1"/>
      <w:numFmt w:val="lowerLetter"/>
      <w:lvlText w:val="%5)"/>
      <w:lvlJc w:val="left"/>
      <w:pPr>
        <w:ind w:left="2660" w:hanging="420"/>
      </w:pPr>
      <w:rPr>
        <w:rFonts w:hint="default"/>
        <w:w w:val="100"/>
      </w:rPr>
    </w:lvl>
    <w:lvl w:ilvl="5" w:tentative="0">
      <w:start w:val="1"/>
      <w:numFmt w:val="lowerRoman"/>
      <w:lvlText w:val="%6."/>
      <w:lvlJc w:val="right"/>
      <w:pPr>
        <w:ind w:left="3080" w:hanging="420"/>
      </w:pPr>
      <w:rPr>
        <w:rFonts w:hint="default"/>
        <w:w w:val="100"/>
      </w:rPr>
    </w:lvl>
    <w:lvl w:ilvl="6" w:tentative="0">
      <w:start w:val="1"/>
      <w:numFmt w:val="decimal"/>
      <w:lvlText w:val="%7."/>
      <w:lvlJc w:val="left"/>
      <w:pPr>
        <w:ind w:left="3500" w:hanging="420"/>
      </w:pPr>
      <w:rPr>
        <w:rFonts w:hint="default"/>
        <w:w w:val="100"/>
      </w:rPr>
    </w:lvl>
    <w:lvl w:ilvl="7" w:tentative="0">
      <w:start w:val="1"/>
      <w:numFmt w:val="lowerLetter"/>
      <w:lvlText w:val="%8)"/>
      <w:lvlJc w:val="left"/>
      <w:pPr>
        <w:ind w:left="3920" w:hanging="420"/>
      </w:pPr>
      <w:rPr>
        <w:rFonts w:hint="default"/>
        <w:w w:val="100"/>
      </w:rPr>
    </w:lvl>
    <w:lvl w:ilvl="8" w:tentative="0">
      <w:start w:val="1"/>
      <w:numFmt w:val="lowerRoman"/>
      <w:lvlText w:val="%9."/>
      <w:lvlJc w:val="right"/>
      <w:pPr>
        <w:ind w:left="4340" w:hanging="420"/>
      </w:pPr>
      <w:rPr>
        <w:rFonts w:hint="default"/>
        <w:w w:val="100"/>
      </w:rPr>
    </w:lvl>
  </w:abstractNum>
  <w:abstractNum w:abstractNumId="2">
    <w:nsid w:val="8FCBBE57"/>
    <w:multiLevelType w:val="singleLevel"/>
    <w:tmpl w:val="8FCBBE57"/>
    <w:lvl w:ilvl="0" w:tentative="0">
      <w:start w:val="1"/>
      <w:numFmt w:val="decimal"/>
      <w:suff w:val="nothing"/>
      <w:lvlText w:val="%1．"/>
      <w:lvlJc w:val="left"/>
      <w:pPr>
        <w:ind w:left="0" w:firstLine="400"/>
      </w:pPr>
      <w:rPr>
        <w:rFonts w:hint="default"/>
      </w:rPr>
    </w:lvl>
  </w:abstractNum>
  <w:abstractNum w:abstractNumId="3">
    <w:nsid w:val="00000006"/>
    <w:multiLevelType w:val="singleLevel"/>
    <w:tmpl w:val="00000006"/>
    <w:lvl w:ilvl="0" w:tentative="0">
      <w:start w:val="1"/>
      <w:numFmt w:val="decimal"/>
      <w:lvlText w:val="%1."/>
      <w:lvlJc w:val="left"/>
      <w:pPr>
        <w:tabs>
          <w:tab w:val="left" w:pos="425"/>
        </w:tabs>
        <w:ind w:left="425" w:hanging="425"/>
      </w:pPr>
      <w:rPr>
        <w:rFonts w:hint="default"/>
      </w:rPr>
    </w:lvl>
  </w:abstractNum>
  <w:abstractNum w:abstractNumId="4">
    <w:nsid w:val="00000007"/>
    <w:multiLevelType w:val="singleLevel"/>
    <w:tmpl w:val="00000007"/>
    <w:lvl w:ilvl="0" w:tentative="0">
      <w:start w:val="1"/>
      <w:numFmt w:val="chineseCounting"/>
      <w:suff w:val="nothing"/>
      <w:lvlText w:val="%1、"/>
      <w:lvlJc w:val="left"/>
    </w:lvl>
  </w:abstractNum>
  <w:abstractNum w:abstractNumId="5">
    <w:nsid w:val="00000008"/>
    <w:multiLevelType w:val="singleLevel"/>
    <w:tmpl w:val="00000008"/>
    <w:lvl w:ilvl="0" w:tentative="0">
      <w:start w:val="1"/>
      <w:numFmt w:val="decimal"/>
      <w:lvlText w:val="%1."/>
      <w:lvlJc w:val="left"/>
      <w:pPr>
        <w:tabs>
          <w:tab w:val="left" w:pos="425"/>
        </w:tabs>
        <w:ind w:left="425" w:hanging="425"/>
      </w:pPr>
      <w:rPr>
        <w:rFonts w:hint="default"/>
      </w:rPr>
    </w:lvl>
  </w:abstractNum>
  <w:abstractNum w:abstractNumId="6">
    <w:nsid w:val="0000000A"/>
    <w:multiLevelType w:val="singleLevel"/>
    <w:tmpl w:val="0000000A"/>
    <w:lvl w:ilvl="0" w:tentative="0">
      <w:start w:val="1"/>
      <w:numFmt w:val="decimal"/>
      <w:lvlText w:val="%1."/>
      <w:lvlJc w:val="left"/>
      <w:pPr>
        <w:tabs>
          <w:tab w:val="left" w:pos="425"/>
        </w:tabs>
        <w:ind w:left="425" w:hanging="425"/>
      </w:pPr>
      <w:rPr>
        <w:rFonts w:hint="default"/>
      </w:rPr>
    </w:lvl>
  </w:abstractNum>
  <w:abstractNum w:abstractNumId="7">
    <w:nsid w:val="0000000B"/>
    <w:multiLevelType w:val="singleLevel"/>
    <w:tmpl w:val="0000000B"/>
    <w:lvl w:ilvl="0" w:tentative="0">
      <w:start w:val="1"/>
      <w:numFmt w:val="decimal"/>
      <w:lvlText w:val="%1."/>
      <w:lvlJc w:val="left"/>
      <w:pPr>
        <w:tabs>
          <w:tab w:val="left" w:pos="425"/>
        </w:tabs>
        <w:ind w:left="425" w:hanging="425"/>
      </w:pPr>
      <w:rPr>
        <w:rFonts w:hint="default"/>
      </w:rPr>
    </w:lvl>
  </w:abstractNum>
  <w:abstractNum w:abstractNumId="8">
    <w:nsid w:val="0000000C"/>
    <w:multiLevelType w:val="singleLevel"/>
    <w:tmpl w:val="0000000C"/>
    <w:lvl w:ilvl="0" w:tentative="0">
      <w:start w:val="1"/>
      <w:numFmt w:val="decimal"/>
      <w:lvlText w:val="%1."/>
      <w:lvlJc w:val="left"/>
      <w:pPr>
        <w:tabs>
          <w:tab w:val="left" w:pos="425"/>
        </w:tabs>
        <w:ind w:left="425" w:hanging="425"/>
      </w:pPr>
      <w:rPr>
        <w:rFonts w:hint="default"/>
      </w:rPr>
    </w:lvl>
  </w:abstractNum>
  <w:abstractNum w:abstractNumId="9">
    <w:nsid w:val="0000000D"/>
    <w:multiLevelType w:val="singleLevel"/>
    <w:tmpl w:val="0000000D"/>
    <w:lvl w:ilvl="0" w:tentative="0">
      <w:start w:val="1"/>
      <w:numFmt w:val="decimal"/>
      <w:lvlText w:val="%1)"/>
      <w:lvlJc w:val="left"/>
      <w:pPr>
        <w:tabs>
          <w:tab w:val="left" w:pos="1265"/>
        </w:tabs>
        <w:ind w:left="425" w:hanging="425"/>
      </w:pPr>
      <w:rPr>
        <w:rFonts w:hint="default"/>
      </w:rPr>
    </w:lvl>
  </w:abstractNum>
  <w:abstractNum w:abstractNumId="10">
    <w:nsid w:val="0000000E"/>
    <w:multiLevelType w:val="singleLevel"/>
    <w:tmpl w:val="0000000E"/>
    <w:lvl w:ilvl="0" w:tentative="0">
      <w:start w:val="1"/>
      <w:numFmt w:val="decimal"/>
      <w:lvlText w:val="%1."/>
      <w:lvlJc w:val="left"/>
      <w:pPr>
        <w:tabs>
          <w:tab w:val="left" w:pos="425"/>
        </w:tabs>
        <w:ind w:left="425" w:hanging="425"/>
      </w:pPr>
      <w:rPr>
        <w:rFonts w:hint="default"/>
      </w:rPr>
    </w:lvl>
  </w:abstractNum>
  <w:abstractNum w:abstractNumId="11">
    <w:nsid w:val="0000000F"/>
    <w:multiLevelType w:val="singleLevel"/>
    <w:tmpl w:val="0000000F"/>
    <w:lvl w:ilvl="0" w:tentative="0">
      <w:start w:val="1"/>
      <w:numFmt w:val="decimal"/>
      <w:lvlText w:val="%1."/>
      <w:lvlJc w:val="left"/>
      <w:pPr>
        <w:tabs>
          <w:tab w:val="left" w:pos="425"/>
        </w:tabs>
        <w:ind w:left="425" w:hanging="425"/>
      </w:pPr>
      <w:rPr>
        <w:rFonts w:hint="default"/>
      </w:rPr>
    </w:lvl>
  </w:abstractNum>
  <w:abstractNum w:abstractNumId="12">
    <w:nsid w:val="00000010"/>
    <w:multiLevelType w:val="singleLevel"/>
    <w:tmpl w:val="00000010"/>
    <w:lvl w:ilvl="0" w:tentative="0">
      <w:start w:val="1"/>
      <w:numFmt w:val="chineseCounting"/>
      <w:suff w:val="nothing"/>
      <w:lvlText w:val="（%1）"/>
      <w:lvlJc w:val="left"/>
      <w:pPr>
        <w:ind w:left="1849" w:firstLine="420"/>
      </w:pPr>
      <w:rPr>
        <w:rFonts w:hint="eastAsia"/>
      </w:rPr>
    </w:lvl>
  </w:abstractNum>
  <w:abstractNum w:abstractNumId="13">
    <w:nsid w:val="00000011"/>
    <w:multiLevelType w:val="singleLevel"/>
    <w:tmpl w:val="00000011"/>
    <w:lvl w:ilvl="0" w:tentative="0">
      <w:start w:val="1"/>
      <w:numFmt w:val="decimal"/>
      <w:lvlText w:val="%1)"/>
      <w:lvlJc w:val="left"/>
      <w:pPr>
        <w:tabs>
          <w:tab w:val="left" w:pos="425"/>
        </w:tabs>
        <w:ind w:left="425" w:hanging="425"/>
      </w:pPr>
      <w:rPr>
        <w:rFonts w:hint="default"/>
      </w:rPr>
    </w:lvl>
  </w:abstractNum>
  <w:abstractNum w:abstractNumId="14">
    <w:nsid w:val="00000012"/>
    <w:multiLevelType w:val="multilevel"/>
    <w:tmpl w:val="0000001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13"/>
    <w:multiLevelType w:val="singleLevel"/>
    <w:tmpl w:val="00000013"/>
    <w:lvl w:ilvl="0" w:tentative="0">
      <w:start w:val="1"/>
      <w:numFmt w:val="decimal"/>
      <w:pStyle w:val="13"/>
      <w:lvlText w:val="%1."/>
      <w:lvlJc w:val="left"/>
      <w:pPr>
        <w:tabs>
          <w:tab w:val="left" w:pos="360"/>
        </w:tabs>
        <w:ind w:left="360" w:hanging="360"/>
      </w:pPr>
    </w:lvl>
  </w:abstractNum>
  <w:abstractNum w:abstractNumId="16">
    <w:nsid w:val="00000014"/>
    <w:multiLevelType w:val="singleLevel"/>
    <w:tmpl w:val="00000014"/>
    <w:lvl w:ilvl="0" w:tentative="0">
      <w:start w:val="1"/>
      <w:numFmt w:val="decimal"/>
      <w:lvlText w:val="%1."/>
      <w:lvlJc w:val="left"/>
      <w:pPr>
        <w:tabs>
          <w:tab w:val="left" w:pos="425"/>
        </w:tabs>
        <w:ind w:left="425" w:hanging="425"/>
      </w:pPr>
      <w:rPr>
        <w:rFonts w:hint="default"/>
      </w:rPr>
    </w:lvl>
  </w:abstractNum>
  <w:abstractNum w:abstractNumId="17">
    <w:nsid w:val="05997BF9"/>
    <w:multiLevelType w:val="multilevel"/>
    <w:tmpl w:val="05997BF9"/>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lvl>
    <w:lvl w:ilvl="3" w:tentative="0">
      <w:start w:val="1"/>
      <w:numFmt w:val="decimal"/>
      <w:lvlText w:val="%1.%2.%3.%4"/>
      <w:lvlJc w:val="left"/>
      <w:pPr>
        <w:ind w:left="21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8">
    <w:nsid w:val="0B515F52"/>
    <w:multiLevelType w:val="multilevel"/>
    <w:tmpl w:val="0B515F52"/>
    <w:lvl w:ilvl="0" w:tentative="0">
      <w:start w:val="6"/>
      <w:numFmt w:val="decimal"/>
      <w:lvlText w:val="%1."/>
      <w:lvlJc w:val="left"/>
      <w:pPr>
        <w:tabs>
          <w:tab w:val="left" w:pos="425"/>
        </w:tabs>
        <w:ind w:left="425" w:hanging="4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C7F170B"/>
    <w:multiLevelType w:val="multilevel"/>
    <w:tmpl w:val="0C7F170B"/>
    <w:lvl w:ilvl="0" w:tentative="0">
      <w:start w:val="1"/>
      <w:numFmt w:val="decimal"/>
      <w:lvlText w:val="%1"/>
      <w:lvlJc w:val="left"/>
      <w:pPr>
        <w:ind w:left="432" w:hanging="432"/>
      </w:pPr>
      <w:rPr>
        <w:rFonts w:hint="default" w:ascii="Arial" w:hAnsi="Arial"/>
      </w:rPr>
    </w:lvl>
    <w:lvl w:ilvl="1" w:tentative="0">
      <w:start w:val="1"/>
      <w:numFmt w:val="decimal"/>
      <w:lvlText w:val="%1.%2"/>
      <w:lvlJc w:val="left"/>
      <w:pPr>
        <w:ind w:left="1143" w:hanging="576"/>
      </w:pPr>
      <w:rPr>
        <w:rFonts w:hint="eastAsia"/>
      </w:rPr>
    </w:lvl>
    <w:lvl w:ilvl="2" w:tentative="0">
      <w:start w:val="1"/>
      <w:numFmt w:val="decimal"/>
      <w:pStyle w:val="82"/>
      <w:lvlText w:val="%1.%2.%3"/>
      <w:lvlJc w:val="left"/>
      <w:pPr>
        <w:ind w:left="862" w:hanging="720"/>
      </w:pPr>
      <w:rPr>
        <w:rFonts w:hint="eastAsia" w:ascii="Arial" w:hAnsi="Arial" w:eastAsia="宋体"/>
        <w:b w:val="0"/>
        <w:i w:val="0"/>
      </w:rPr>
    </w:lvl>
    <w:lvl w:ilvl="3" w:tentative="0">
      <w:start w:val="1"/>
      <w:numFmt w:val="decimal"/>
      <w:pStyle w:val="105"/>
      <w:lvlText w:val="%1.%2.%3.%4"/>
      <w:lvlJc w:val="left"/>
      <w:pPr>
        <w:ind w:left="864" w:hanging="864"/>
      </w:pPr>
      <w:rPr>
        <w:rFonts w:hint="default" w:ascii="Arial" w:hAnsi="Arial" w:eastAsia="宋体"/>
        <w:b w:val="0"/>
        <w:i w:val="0"/>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0">
    <w:nsid w:val="0DE94619"/>
    <w:multiLevelType w:val="multilevel"/>
    <w:tmpl w:val="0DE94619"/>
    <w:lvl w:ilvl="0" w:tentative="0">
      <w:start w:val="1"/>
      <w:numFmt w:val="decimal"/>
      <w:lvlText w:val="%1."/>
      <w:lvlJc w:val="left"/>
      <w:pPr>
        <w:ind w:left="420" w:hanging="420"/>
      </w:pPr>
      <w:rPr>
        <w:rFonts w:hint="default"/>
        <w:w w:val="100"/>
      </w:rPr>
    </w:lvl>
    <w:lvl w:ilvl="1" w:tentative="0">
      <w:start w:val="1"/>
      <w:numFmt w:val="lowerLetter"/>
      <w:lvlText w:val="%2)"/>
      <w:lvlJc w:val="left"/>
      <w:pPr>
        <w:ind w:left="1260" w:hanging="420"/>
      </w:pPr>
      <w:rPr>
        <w:rFonts w:hint="default"/>
        <w:w w:val="100"/>
      </w:rPr>
    </w:lvl>
    <w:lvl w:ilvl="2" w:tentative="0">
      <w:start w:val="1"/>
      <w:numFmt w:val="lowerRoman"/>
      <w:lvlText w:val="%3."/>
      <w:lvlJc w:val="right"/>
      <w:pPr>
        <w:ind w:left="1680" w:hanging="420"/>
      </w:pPr>
      <w:rPr>
        <w:rFonts w:hint="default"/>
        <w:w w:val="100"/>
      </w:rPr>
    </w:lvl>
    <w:lvl w:ilvl="3" w:tentative="0">
      <w:start w:val="1"/>
      <w:numFmt w:val="decimal"/>
      <w:lvlText w:val="%4."/>
      <w:lvlJc w:val="left"/>
      <w:pPr>
        <w:ind w:left="2100" w:hanging="420"/>
      </w:pPr>
      <w:rPr>
        <w:rFonts w:hint="default"/>
        <w:w w:val="100"/>
      </w:rPr>
    </w:lvl>
    <w:lvl w:ilvl="4" w:tentative="0">
      <w:start w:val="1"/>
      <w:numFmt w:val="lowerLetter"/>
      <w:lvlText w:val="%5)"/>
      <w:lvlJc w:val="left"/>
      <w:pPr>
        <w:ind w:left="2520" w:hanging="420"/>
      </w:pPr>
      <w:rPr>
        <w:rFonts w:hint="default"/>
        <w:w w:val="100"/>
      </w:rPr>
    </w:lvl>
    <w:lvl w:ilvl="5" w:tentative="0">
      <w:start w:val="1"/>
      <w:numFmt w:val="lowerRoman"/>
      <w:lvlText w:val="%6."/>
      <w:lvlJc w:val="right"/>
      <w:pPr>
        <w:ind w:left="2940" w:hanging="420"/>
      </w:pPr>
      <w:rPr>
        <w:rFonts w:hint="default"/>
        <w:w w:val="100"/>
      </w:rPr>
    </w:lvl>
    <w:lvl w:ilvl="6" w:tentative="0">
      <w:start w:val="1"/>
      <w:numFmt w:val="decimal"/>
      <w:lvlText w:val="%7."/>
      <w:lvlJc w:val="left"/>
      <w:pPr>
        <w:ind w:left="3360" w:hanging="420"/>
      </w:pPr>
      <w:rPr>
        <w:rFonts w:hint="default"/>
        <w:w w:val="100"/>
      </w:rPr>
    </w:lvl>
    <w:lvl w:ilvl="7" w:tentative="0">
      <w:start w:val="1"/>
      <w:numFmt w:val="lowerLetter"/>
      <w:lvlText w:val="%8)"/>
      <w:lvlJc w:val="left"/>
      <w:pPr>
        <w:ind w:left="3780" w:hanging="420"/>
      </w:pPr>
      <w:rPr>
        <w:rFonts w:hint="default"/>
        <w:w w:val="100"/>
      </w:rPr>
    </w:lvl>
    <w:lvl w:ilvl="8" w:tentative="0">
      <w:start w:val="1"/>
      <w:numFmt w:val="lowerRoman"/>
      <w:lvlText w:val="%9."/>
      <w:lvlJc w:val="right"/>
      <w:pPr>
        <w:ind w:left="4200" w:hanging="420"/>
      </w:pPr>
      <w:rPr>
        <w:rFonts w:hint="default"/>
        <w:w w:val="100"/>
      </w:rPr>
    </w:lvl>
  </w:abstractNum>
  <w:abstractNum w:abstractNumId="21">
    <w:nsid w:val="12422E98"/>
    <w:multiLevelType w:val="multilevel"/>
    <w:tmpl w:val="12422E98"/>
    <w:lvl w:ilvl="0" w:tentative="0">
      <w:start w:val="1"/>
      <w:numFmt w:val="chineseCountingThousand"/>
      <w:lvlText w:val="%1、"/>
      <w:lvlJc w:val="left"/>
      <w:pPr>
        <w:ind w:left="0" w:hanging="425"/>
      </w:pPr>
      <w:rPr>
        <w:rFonts w:hint="default"/>
        <w:b w:val="0"/>
        <w:color w:val="000000"/>
        <w:w w:val="0"/>
      </w:rPr>
    </w:lvl>
    <w:lvl w:ilvl="1" w:tentative="0">
      <w:start w:val="1"/>
      <w:numFmt w:val="decimal"/>
      <w:lvlText w:val="%1.%2."/>
      <w:lvlJc w:val="left"/>
      <w:pPr>
        <w:ind w:left="567" w:hanging="567"/>
      </w:pPr>
      <w:rPr>
        <w:rFonts w:hint="default" w:ascii="Times New Roman" w:hAnsi="Times New Roman"/>
        <w:b w:val="0"/>
        <w:color w:val="000000"/>
        <w:w w:val="0"/>
      </w:rPr>
    </w:lvl>
    <w:lvl w:ilvl="2" w:tentative="0">
      <w:start w:val="1"/>
      <w:numFmt w:val="decimal"/>
      <w:lvlText w:val="%1.%2.%3."/>
      <w:lvlJc w:val="left"/>
      <w:pPr>
        <w:ind w:left="709" w:hanging="709"/>
      </w:pPr>
      <w:rPr>
        <w:rFonts w:hint="default" w:ascii="Times New Roman" w:hAnsi="Times New Roman"/>
        <w:b w:val="0"/>
        <w:w w:val="100"/>
      </w:rPr>
    </w:lvl>
    <w:lvl w:ilvl="3" w:tentative="0">
      <w:start w:val="1"/>
      <w:numFmt w:val="decimal"/>
      <w:lvlText w:val="%1.%2.%3.%4."/>
      <w:lvlJc w:val="left"/>
      <w:pPr>
        <w:ind w:left="851" w:hanging="851"/>
      </w:pPr>
      <w:rPr>
        <w:rFonts w:hint="default"/>
        <w:w w:val="100"/>
      </w:rPr>
    </w:lvl>
    <w:lvl w:ilvl="4" w:tentative="0">
      <w:start w:val="1"/>
      <w:numFmt w:val="decimal"/>
      <w:lvlText w:val="%1.%2.%3.%4.%5."/>
      <w:lvlJc w:val="left"/>
      <w:pPr>
        <w:ind w:left="992" w:hanging="992"/>
      </w:pPr>
      <w:rPr>
        <w:rFonts w:hint="default"/>
        <w:color w:val="000000"/>
        <w:w w:val="100"/>
      </w:rPr>
    </w:lvl>
    <w:lvl w:ilvl="5" w:tentative="0">
      <w:start w:val="1"/>
      <w:numFmt w:val="decimal"/>
      <w:lvlText w:val="%6)"/>
      <w:lvlJc w:val="left"/>
      <w:pPr>
        <w:ind w:left="1134" w:hanging="567"/>
      </w:pPr>
      <w:rPr>
        <w:rFonts w:hint="default"/>
        <w:b w:val="0"/>
        <w:w w:val="100"/>
      </w:rPr>
    </w:lvl>
    <w:lvl w:ilvl="6" w:tentative="0">
      <w:start w:val="1"/>
      <w:numFmt w:val="lowerLetter"/>
      <w:lvlText w:val="%7)"/>
      <w:lvlJc w:val="left"/>
      <w:pPr>
        <w:ind w:left="1701" w:hanging="567"/>
      </w:pPr>
      <w:rPr>
        <w:rFonts w:hint="default"/>
        <w:w w:val="100"/>
      </w:rPr>
    </w:lvl>
    <w:lvl w:ilvl="7" w:tentative="0">
      <w:start w:val="1"/>
      <w:numFmt w:val="lowerRoman"/>
      <w:lvlText w:val="%8)"/>
      <w:lvlJc w:val="left"/>
      <w:pPr>
        <w:ind w:left="2268" w:hanging="567"/>
      </w:pPr>
      <w:rPr>
        <w:rFonts w:hint="default"/>
        <w:w w:val="100"/>
      </w:rPr>
    </w:lvl>
    <w:lvl w:ilvl="8" w:tentative="0">
      <w:start w:val="1"/>
      <w:numFmt w:val="bullet"/>
      <w:lvlText w:val="¨"/>
      <w:lvlJc w:val="left"/>
      <w:pPr>
        <w:ind w:left="25515" w:hanging="567"/>
      </w:pPr>
      <w:rPr>
        <w:rFonts w:hint="default" w:ascii="Symbol" w:hAnsi="Symbol"/>
        <w:w w:val="100"/>
      </w:rPr>
    </w:lvl>
  </w:abstractNum>
  <w:abstractNum w:abstractNumId="22">
    <w:nsid w:val="132E6EFC"/>
    <w:multiLevelType w:val="multilevel"/>
    <w:tmpl w:val="132E6EFC"/>
    <w:lvl w:ilvl="0" w:tentative="0">
      <w:start w:val="1"/>
      <w:numFmt w:val="chineseCountingThousand"/>
      <w:lvlText w:val="%1、"/>
      <w:lvlJc w:val="left"/>
      <w:pPr>
        <w:ind w:left="0" w:hanging="425"/>
      </w:pPr>
      <w:rPr>
        <w:rFonts w:hint="default"/>
        <w:b w:val="0"/>
        <w:color w:val="000000"/>
        <w:w w:val="0"/>
      </w:rPr>
    </w:lvl>
    <w:lvl w:ilvl="1" w:tentative="0">
      <w:start w:val="1"/>
      <w:numFmt w:val="decimal"/>
      <w:lvlText w:val="%1.%2."/>
      <w:lvlJc w:val="left"/>
      <w:pPr>
        <w:ind w:left="567" w:hanging="567"/>
      </w:pPr>
      <w:rPr>
        <w:rFonts w:hint="default" w:ascii="Times New Roman" w:hAnsi="Times New Roman"/>
        <w:b w:val="0"/>
        <w:color w:val="000000"/>
        <w:w w:val="0"/>
      </w:rPr>
    </w:lvl>
    <w:lvl w:ilvl="2" w:tentative="0">
      <w:start w:val="1"/>
      <w:numFmt w:val="decimal"/>
      <w:lvlText w:val="%1.%2.%3."/>
      <w:lvlJc w:val="left"/>
      <w:pPr>
        <w:ind w:left="709" w:hanging="709"/>
      </w:pPr>
      <w:rPr>
        <w:rFonts w:hint="default" w:ascii="Times New Roman" w:hAnsi="Times New Roman"/>
        <w:b w:val="0"/>
        <w:w w:val="100"/>
      </w:rPr>
    </w:lvl>
    <w:lvl w:ilvl="3" w:tentative="0">
      <w:start w:val="1"/>
      <w:numFmt w:val="decimal"/>
      <w:lvlText w:val="%1.%2.%3.%4."/>
      <w:lvlJc w:val="left"/>
      <w:pPr>
        <w:ind w:left="851" w:hanging="851"/>
      </w:pPr>
      <w:rPr>
        <w:rFonts w:hint="default"/>
        <w:w w:val="100"/>
      </w:rPr>
    </w:lvl>
    <w:lvl w:ilvl="4" w:tentative="0">
      <w:start w:val="1"/>
      <w:numFmt w:val="decimal"/>
      <w:lvlText w:val="%1.%2.%3.%4.%5."/>
      <w:lvlJc w:val="left"/>
      <w:pPr>
        <w:ind w:left="992" w:hanging="992"/>
      </w:pPr>
      <w:rPr>
        <w:rFonts w:hint="default"/>
        <w:color w:val="000000"/>
        <w:w w:val="100"/>
      </w:rPr>
    </w:lvl>
    <w:lvl w:ilvl="5" w:tentative="0">
      <w:start w:val="1"/>
      <w:numFmt w:val="decimal"/>
      <w:lvlText w:val="%6)"/>
      <w:lvlJc w:val="left"/>
      <w:pPr>
        <w:ind w:left="1134" w:hanging="567"/>
      </w:pPr>
      <w:rPr>
        <w:rFonts w:hint="default"/>
        <w:b w:val="0"/>
        <w:w w:val="100"/>
      </w:rPr>
    </w:lvl>
    <w:lvl w:ilvl="6" w:tentative="0">
      <w:start w:val="1"/>
      <w:numFmt w:val="lowerLetter"/>
      <w:lvlText w:val="%7)"/>
      <w:lvlJc w:val="left"/>
      <w:pPr>
        <w:ind w:left="1701" w:hanging="567"/>
      </w:pPr>
      <w:rPr>
        <w:rFonts w:hint="default"/>
        <w:w w:val="100"/>
      </w:rPr>
    </w:lvl>
    <w:lvl w:ilvl="7" w:tentative="0">
      <w:start w:val="1"/>
      <w:numFmt w:val="lowerRoman"/>
      <w:lvlText w:val="%8)"/>
      <w:lvlJc w:val="left"/>
      <w:pPr>
        <w:ind w:left="2268" w:hanging="567"/>
      </w:pPr>
      <w:rPr>
        <w:rFonts w:hint="default"/>
        <w:w w:val="100"/>
      </w:rPr>
    </w:lvl>
    <w:lvl w:ilvl="8" w:tentative="0">
      <w:start w:val="1"/>
      <w:numFmt w:val="bullet"/>
      <w:lvlText w:val="¨"/>
      <w:lvlJc w:val="left"/>
      <w:pPr>
        <w:ind w:left="25515" w:hanging="567"/>
      </w:pPr>
      <w:rPr>
        <w:rFonts w:hint="default" w:ascii="Symbol" w:hAnsi="Symbol"/>
        <w:w w:val="100"/>
      </w:rPr>
    </w:lvl>
  </w:abstractNum>
  <w:abstractNum w:abstractNumId="23">
    <w:nsid w:val="17BF37B5"/>
    <w:multiLevelType w:val="multilevel"/>
    <w:tmpl w:val="17BF37B5"/>
    <w:lvl w:ilvl="0" w:tentative="0">
      <w:start w:val="1"/>
      <w:numFmt w:val="decimal"/>
      <w:lvlText w:val="%1."/>
      <w:lvlJc w:val="left"/>
      <w:pPr>
        <w:ind w:left="420" w:hanging="420"/>
      </w:pPr>
      <w:rPr>
        <w:rFonts w:hint="default"/>
        <w:w w:val="100"/>
      </w:rPr>
    </w:lvl>
    <w:lvl w:ilvl="1" w:tentative="0">
      <w:start w:val="1"/>
      <w:numFmt w:val="lowerLetter"/>
      <w:lvlText w:val="%2)"/>
      <w:lvlJc w:val="left"/>
      <w:pPr>
        <w:ind w:left="1260" w:hanging="420"/>
      </w:pPr>
      <w:rPr>
        <w:rFonts w:hint="default"/>
        <w:w w:val="100"/>
      </w:rPr>
    </w:lvl>
    <w:lvl w:ilvl="2" w:tentative="0">
      <w:start w:val="1"/>
      <w:numFmt w:val="lowerRoman"/>
      <w:lvlText w:val="%3."/>
      <w:lvlJc w:val="right"/>
      <w:pPr>
        <w:ind w:left="1680" w:hanging="420"/>
      </w:pPr>
      <w:rPr>
        <w:rFonts w:hint="default"/>
        <w:w w:val="100"/>
      </w:rPr>
    </w:lvl>
    <w:lvl w:ilvl="3" w:tentative="0">
      <w:start w:val="1"/>
      <w:numFmt w:val="decimal"/>
      <w:lvlText w:val="%4."/>
      <w:lvlJc w:val="left"/>
      <w:pPr>
        <w:ind w:left="2100" w:hanging="420"/>
      </w:pPr>
      <w:rPr>
        <w:rFonts w:hint="default"/>
        <w:w w:val="100"/>
      </w:rPr>
    </w:lvl>
    <w:lvl w:ilvl="4" w:tentative="0">
      <w:start w:val="1"/>
      <w:numFmt w:val="lowerLetter"/>
      <w:lvlText w:val="%5)"/>
      <w:lvlJc w:val="left"/>
      <w:pPr>
        <w:ind w:left="2520" w:hanging="420"/>
      </w:pPr>
      <w:rPr>
        <w:rFonts w:hint="default"/>
        <w:w w:val="100"/>
      </w:rPr>
    </w:lvl>
    <w:lvl w:ilvl="5" w:tentative="0">
      <w:start w:val="1"/>
      <w:numFmt w:val="lowerRoman"/>
      <w:lvlText w:val="%6."/>
      <w:lvlJc w:val="right"/>
      <w:pPr>
        <w:ind w:left="2940" w:hanging="420"/>
      </w:pPr>
      <w:rPr>
        <w:rFonts w:hint="default"/>
        <w:w w:val="100"/>
      </w:rPr>
    </w:lvl>
    <w:lvl w:ilvl="6" w:tentative="0">
      <w:start w:val="1"/>
      <w:numFmt w:val="decimal"/>
      <w:lvlText w:val="%7."/>
      <w:lvlJc w:val="left"/>
      <w:pPr>
        <w:ind w:left="3360" w:hanging="420"/>
      </w:pPr>
      <w:rPr>
        <w:rFonts w:hint="default"/>
        <w:w w:val="100"/>
      </w:rPr>
    </w:lvl>
    <w:lvl w:ilvl="7" w:tentative="0">
      <w:start w:val="1"/>
      <w:numFmt w:val="lowerLetter"/>
      <w:lvlText w:val="%8)"/>
      <w:lvlJc w:val="left"/>
      <w:pPr>
        <w:ind w:left="3780" w:hanging="420"/>
      </w:pPr>
      <w:rPr>
        <w:rFonts w:hint="default"/>
        <w:w w:val="100"/>
      </w:rPr>
    </w:lvl>
    <w:lvl w:ilvl="8" w:tentative="0">
      <w:start w:val="1"/>
      <w:numFmt w:val="lowerRoman"/>
      <w:lvlText w:val="%9."/>
      <w:lvlJc w:val="right"/>
      <w:pPr>
        <w:ind w:left="4200" w:hanging="420"/>
      </w:pPr>
      <w:rPr>
        <w:rFonts w:hint="default"/>
        <w:w w:val="100"/>
      </w:rPr>
    </w:lvl>
  </w:abstractNum>
  <w:abstractNum w:abstractNumId="24">
    <w:nsid w:val="1997794F"/>
    <w:multiLevelType w:val="multilevel"/>
    <w:tmpl w:val="1997794F"/>
    <w:lvl w:ilvl="0" w:tentative="0">
      <w:start w:val="1"/>
      <w:numFmt w:val="lowerLetter"/>
      <w:lvlText w:val="%1)"/>
      <w:lvlJc w:val="left"/>
      <w:pPr>
        <w:ind w:left="915" w:hanging="420"/>
      </w:pPr>
      <w:rPr>
        <w:rFonts w:hint="default"/>
        <w:b w:val="0"/>
        <w:bCs w:val="0"/>
        <w:sz w:val="20"/>
        <w:szCs w:val="20"/>
      </w:rPr>
    </w:lvl>
    <w:lvl w:ilvl="1" w:tentative="0">
      <w:start w:val="1"/>
      <w:numFmt w:val="decimal"/>
      <w:lvlText w:val="%2、"/>
      <w:lvlJc w:val="left"/>
      <w:pPr>
        <w:ind w:left="1275" w:hanging="360"/>
      </w:pPr>
      <w:rPr>
        <w:rFonts w:hint="default"/>
        <w:b/>
      </w:rPr>
    </w:lvl>
    <w:lvl w:ilvl="2" w:tentative="0">
      <w:start w:val="1"/>
      <w:numFmt w:val="lowerRoman"/>
      <w:lvlText w:val="%3."/>
      <w:lvlJc w:val="right"/>
      <w:pPr>
        <w:ind w:left="1755" w:hanging="420"/>
      </w:pPr>
    </w:lvl>
    <w:lvl w:ilvl="3" w:tentative="0">
      <w:start w:val="1"/>
      <w:numFmt w:val="decimal"/>
      <w:lvlText w:val="%4."/>
      <w:lvlJc w:val="left"/>
      <w:pPr>
        <w:ind w:left="2175" w:hanging="420"/>
      </w:pPr>
    </w:lvl>
    <w:lvl w:ilvl="4" w:tentative="0">
      <w:start w:val="1"/>
      <w:numFmt w:val="lowerLetter"/>
      <w:lvlText w:val="%5)"/>
      <w:lvlJc w:val="left"/>
      <w:pPr>
        <w:ind w:left="2595" w:hanging="420"/>
      </w:pPr>
    </w:lvl>
    <w:lvl w:ilvl="5" w:tentative="0">
      <w:start w:val="1"/>
      <w:numFmt w:val="lowerRoman"/>
      <w:lvlText w:val="%6."/>
      <w:lvlJc w:val="right"/>
      <w:pPr>
        <w:ind w:left="3015" w:hanging="420"/>
      </w:pPr>
    </w:lvl>
    <w:lvl w:ilvl="6" w:tentative="0">
      <w:start w:val="1"/>
      <w:numFmt w:val="decimal"/>
      <w:lvlText w:val="%7."/>
      <w:lvlJc w:val="left"/>
      <w:pPr>
        <w:ind w:left="3435" w:hanging="420"/>
      </w:pPr>
    </w:lvl>
    <w:lvl w:ilvl="7" w:tentative="0">
      <w:start w:val="1"/>
      <w:numFmt w:val="lowerLetter"/>
      <w:lvlText w:val="%8)"/>
      <w:lvlJc w:val="left"/>
      <w:pPr>
        <w:ind w:left="3855" w:hanging="420"/>
      </w:pPr>
    </w:lvl>
    <w:lvl w:ilvl="8" w:tentative="0">
      <w:start w:val="1"/>
      <w:numFmt w:val="lowerRoman"/>
      <w:lvlText w:val="%9."/>
      <w:lvlJc w:val="right"/>
      <w:pPr>
        <w:ind w:left="4275" w:hanging="420"/>
      </w:pPr>
    </w:lvl>
  </w:abstractNum>
  <w:abstractNum w:abstractNumId="25">
    <w:nsid w:val="2BA5243F"/>
    <w:multiLevelType w:val="multilevel"/>
    <w:tmpl w:val="2BA5243F"/>
    <w:lvl w:ilvl="0" w:tentative="0">
      <w:start w:val="1"/>
      <w:numFmt w:val="decimal"/>
      <w:lvlText w:val="%1."/>
      <w:lvlJc w:val="left"/>
      <w:pPr>
        <w:ind w:left="420" w:hanging="420"/>
      </w:pPr>
      <w:rPr>
        <w:rFonts w:hint="default"/>
        <w:w w:val="100"/>
      </w:rPr>
    </w:lvl>
    <w:lvl w:ilvl="1" w:tentative="0">
      <w:start w:val="1"/>
      <w:numFmt w:val="lowerLetter"/>
      <w:lvlText w:val="%2)"/>
      <w:lvlJc w:val="left"/>
      <w:pPr>
        <w:ind w:left="1260" w:hanging="420"/>
      </w:pPr>
      <w:rPr>
        <w:rFonts w:hint="default"/>
        <w:w w:val="100"/>
      </w:rPr>
    </w:lvl>
    <w:lvl w:ilvl="2" w:tentative="0">
      <w:start w:val="1"/>
      <w:numFmt w:val="lowerRoman"/>
      <w:lvlText w:val="%3."/>
      <w:lvlJc w:val="right"/>
      <w:pPr>
        <w:ind w:left="1680" w:hanging="420"/>
      </w:pPr>
      <w:rPr>
        <w:rFonts w:hint="default"/>
        <w:w w:val="100"/>
      </w:rPr>
    </w:lvl>
    <w:lvl w:ilvl="3" w:tentative="0">
      <w:start w:val="1"/>
      <w:numFmt w:val="decimal"/>
      <w:lvlText w:val="%4."/>
      <w:lvlJc w:val="left"/>
      <w:pPr>
        <w:ind w:left="2100" w:hanging="420"/>
      </w:pPr>
      <w:rPr>
        <w:rFonts w:hint="default"/>
        <w:w w:val="100"/>
      </w:rPr>
    </w:lvl>
    <w:lvl w:ilvl="4" w:tentative="0">
      <w:start w:val="1"/>
      <w:numFmt w:val="lowerLetter"/>
      <w:lvlText w:val="%5)"/>
      <w:lvlJc w:val="left"/>
      <w:pPr>
        <w:ind w:left="2520" w:hanging="420"/>
      </w:pPr>
      <w:rPr>
        <w:rFonts w:hint="default"/>
        <w:w w:val="100"/>
      </w:rPr>
    </w:lvl>
    <w:lvl w:ilvl="5" w:tentative="0">
      <w:start w:val="1"/>
      <w:numFmt w:val="lowerRoman"/>
      <w:lvlText w:val="%6."/>
      <w:lvlJc w:val="right"/>
      <w:pPr>
        <w:ind w:left="2940" w:hanging="420"/>
      </w:pPr>
      <w:rPr>
        <w:rFonts w:hint="default"/>
        <w:w w:val="100"/>
      </w:rPr>
    </w:lvl>
    <w:lvl w:ilvl="6" w:tentative="0">
      <w:start w:val="1"/>
      <w:numFmt w:val="decimal"/>
      <w:lvlText w:val="%7."/>
      <w:lvlJc w:val="left"/>
      <w:pPr>
        <w:ind w:left="3360" w:hanging="420"/>
      </w:pPr>
      <w:rPr>
        <w:rFonts w:hint="default"/>
        <w:w w:val="100"/>
      </w:rPr>
    </w:lvl>
    <w:lvl w:ilvl="7" w:tentative="0">
      <w:start w:val="1"/>
      <w:numFmt w:val="lowerLetter"/>
      <w:lvlText w:val="%8)"/>
      <w:lvlJc w:val="left"/>
      <w:pPr>
        <w:ind w:left="3780" w:hanging="420"/>
      </w:pPr>
      <w:rPr>
        <w:rFonts w:hint="default"/>
        <w:w w:val="100"/>
      </w:rPr>
    </w:lvl>
    <w:lvl w:ilvl="8" w:tentative="0">
      <w:start w:val="1"/>
      <w:numFmt w:val="lowerRoman"/>
      <w:lvlText w:val="%9."/>
      <w:lvlJc w:val="right"/>
      <w:pPr>
        <w:ind w:left="4200" w:hanging="420"/>
      </w:pPr>
      <w:rPr>
        <w:rFonts w:hint="default"/>
        <w:w w:val="100"/>
      </w:rPr>
    </w:lvl>
  </w:abstractNum>
  <w:abstractNum w:abstractNumId="26">
    <w:nsid w:val="2E2E5728"/>
    <w:multiLevelType w:val="multilevel"/>
    <w:tmpl w:val="2E2E5728"/>
    <w:lvl w:ilvl="0" w:tentative="0">
      <w:start w:val="1"/>
      <w:numFmt w:val="chineseCountingThousand"/>
      <w:lvlText w:val="%1、"/>
      <w:lvlJc w:val="left"/>
      <w:pPr>
        <w:ind w:left="0" w:hanging="425"/>
      </w:pPr>
      <w:rPr>
        <w:rFonts w:hint="default"/>
        <w:b w:val="0"/>
        <w:color w:val="000000"/>
        <w:w w:val="0"/>
      </w:rPr>
    </w:lvl>
    <w:lvl w:ilvl="1" w:tentative="0">
      <w:start w:val="1"/>
      <w:numFmt w:val="decimal"/>
      <w:lvlText w:val="%1.%2."/>
      <w:lvlJc w:val="left"/>
      <w:pPr>
        <w:ind w:left="567" w:hanging="567"/>
      </w:pPr>
      <w:rPr>
        <w:rFonts w:hint="default" w:ascii="Times New Roman" w:hAnsi="Times New Roman"/>
        <w:b w:val="0"/>
        <w:color w:val="000000"/>
        <w:w w:val="0"/>
      </w:rPr>
    </w:lvl>
    <w:lvl w:ilvl="2" w:tentative="0">
      <w:start w:val="1"/>
      <w:numFmt w:val="decimal"/>
      <w:lvlText w:val="%1.%2.%3."/>
      <w:lvlJc w:val="left"/>
      <w:pPr>
        <w:ind w:left="709" w:hanging="709"/>
      </w:pPr>
      <w:rPr>
        <w:rFonts w:hint="default" w:ascii="Times New Roman" w:hAnsi="Times New Roman"/>
        <w:b w:val="0"/>
        <w:w w:val="100"/>
      </w:rPr>
    </w:lvl>
    <w:lvl w:ilvl="3" w:tentative="0">
      <w:start w:val="1"/>
      <w:numFmt w:val="decimal"/>
      <w:lvlText w:val="%1.%2.%3.%4."/>
      <w:lvlJc w:val="left"/>
      <w:pPr>
        <w:ind w:left="851" w:hanging="851"/>
      </w:pPr>
      <w:rPr>
        <w:rFonts w:hint="default"/>
        <w:w w:val="100"/>
      </w:rPr>
    </w:lvl>
    <w:lvl w:ilvl="4" w:tentative="0">
      <w:start w:val="1"/>
      <w:numFmt w:val="decimal"/>
      <w:lvlText w:val="%1.%2.%3.%4.%5."/>
      <w:lvlJc w:val="left"/>
      <w:pPr>
        <w:ind w:left="992" w:hanging="992"/>
      </w:pPr>
      <w:rPr>
        <w:rFonts w:hint="default"/>
        <w:color w:val="000000"/>
        <w:w w:val="100"/>
      </w:rPr>
    </w:lvl>
    <w:lvl w:ilvl="5" w:tentative="0">
      <w:start w:val="1"/>
      <w:numFmt w:val="decimal"/>
      <w:lvlText w:val="%6)"/>
      <w:lvlJc w:val="left"/>
      <w:pPr>
        <w:ind w:left="1134" w:hanging="567"/>
      </w:pPr>
      <w:rPr>
        <w:rFonts w:hint="default"/>
        <w:b w:val="0"/>
        <w:w w:val="100"/>
      </w:rPr>
    </w:lvl>
    <w:lvl w:ilvl="6" w:tentative="0">
      <w:start w:val="1"/>
      <w:numFmt w:val="lowerLetter"/>
      <w:lvlText w:val="%7)"/>
      <w:lvlJc w:val="left"/>
      <w:pPr>
        <w:ind w:left="1701" w:hanging="567"/>
      </w:pPr>
      <w:rPr>
        <w:rFonts w:hint="default"/>
        <w:w w:val="100"/>
      </w:rPr>
    </w:lvl>
    <w:lvl w:ilvl="7" w:tentative="0">
      <w:start w:val="1"/>
      <w:numFmt w:val="lowerRoman"/>
      <w:lvlText w:val="%8)"/>
      <w:lvlJc w:val="left"/>
      <w:pPr>
        <w:ind w:left="2268" w:hanging="567"/>
      </w:pPr>
      <w:rPr>
        <w:rFonts w:hint="default"/>
        <w:w w:val="100"/>
      </w:rPr>
    </w:lvl>
    <w:lvl w:ilvl="8" w:tentative="0">
      <w:start w:val="1"/>
      <w:numFmt w:val="bullet"/>
      <w:lvlText w:val="¨"/>
      <w:lvlJc w:val="left"/>
      <w:pPr>
        <w:ind w:left="25515" w:hanging="567"/>
      </w:pPr>
      <w:rPr>
        <w:rFonts w:hint="default" w:ascii="Symbol" w:hAnsi="Symbol"/>
        <w:w w:val="100"/>
      </w:rPr>
    </w:lvl>
  </w:abstractNum>
  <w:abstractNum w:abstractNumId="27">
    <w:nsid w:val="2EB76F74"/>
    <w:multiLevelType w:val="multilevel"/>
    <w:tmpl w:val="2EB76F74"/>
    <w:lvl w:ilvl="0" w:tentative="0">
      <w:start w:val="1"/>
      <w:numFmt w:val="decimal"/>
      <w:pStyle w:val="83"/>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2FD3CF59"/>
    <w:multiLevelType w:val="multilevel"/>
    <w:tmpl w:val="2FD3CF59"/>
    <w:lvl w:ilvl="0" w:tentative="0">
      <w:start w:val="1"/>
      <w:numFmt w:val="lowerLetter"/>
      <w:lvlText w:val="%1)"/>
      <w:lvlJc w:val="left"/>
      <w:pPr>
        <w:ind w:left="560" w:hanging="420"/>
      </w:pPr>
      <w:rPr>
        <w:rFonts w:hint="default"/>
        <w:w w:val="100"/>
      </w:rPr>
    </w:lvl>
    <w:lvl w:ilvl="1" w:tentative="0">
      <w:start w:val="1"/>
      <w:numFmt w:val="lowerLetter"/>
      <w:lvlText w:val="%2)"/>
      <w:lvlJc w:val="left"/>
      <w:pPr>
        <w:ind w:left="1400" w:hanging="420"/>
      </w:pPr>
      <w:rPr>
        <w:rFonts w:hint="default"/>
        <w:w w:val="100"/>
      </w:rPr>
    </w:lvl>
    <w:lvl w:ilvl="2" w:tentative="0">
      <w:start w:val="1"/>
      <w:numFmt w:val="lowerRoman"/>
      <w:lvlText w:val="%3."/>
      <w:lvlJc w:val="right"/>
      <w:pPr>
        <w:ind w:left="1820" w:hanging="420"/>
      </w:pPr>
      <w:rPr>
        <w:rFonts w:hint="default"/>
        <w:w w:val="100"/>
      </w:rPr>
    </w:lvl>
    <w:lvl w:ilvl="3" w:tentative="0">
      <w:start w:val="1"/>
      <w:numFmt w:val="decimal"/>
      <w:lvlText w:val="%4."/>
      <w:lvlJc w:val="left"/>
      <w:pPr>
        <w:ind w:left="2240" w:hanging="420"/>
      </w:pPr>
      <w:rPr>
        <w:rFonts w:hint="default"/>
        <w:w w:val="100"/>
      </w:rPr>
    </w:lvl>
    <w:lvl w:ilvl="4" w:tentative="0">
      <w:start w:val="1"/>
      <w:numFmt w:val="lowerLetter"/>
      <w:lvlText w:val="%5)"/>
      <w:lvlJc w:val="left"/>
      <w:pPr>
        <w:ind w:left="2660" w:hanging="420"/>
      </w:pPr>
      <w:rPr>
        <w:rFonts w:hint="default"/>
        <w:w w:val="100"/>
      </w:rPr>
    </w:lvl>
    <w:lvl w:ilvl="5" w:tentative="0">
      <w:start w:val="1"/>
      <w:numFmt w:val="lowerRoman"/>
      <w:lvlText w:val="%6."/>
      <w:lvlJc w:val="right"/>
      <w:pPr>
        <w:ind w:left="3080" w:hanging="420"/>
      </w:pPr>
      <w:rPr>
        <w:rFonts w:hint="default"/>
        <w:w w:val="100"/>
      </w:rPr>
    </w:lvl>
    <w:lvl w:ilvl="6" w:tentative="0">
      <w:start w:val="1"/>
      <w:numFmt w:val="decimal"/>
      <w:lvlText w:val="%7."/>
      <w:lvlJc w:val="left"/>
      <w:pPr>
        <w:ind w:left="3500" w:hanging="420"/>
      </w:pPr>
      <w:rPr>
        <w:rFonts w:hint="default"/>
        <w:w w:val="100"/>
      </w:rPr>
    </w:lvl>
    <w:lvl w:ilvl="7" w:tentative="0">
      <w:start w:val="1"/>
      <w:numFmt w:val="lowerLetter"/>
      <w:lvlText w:val="%8)"/>
      <w:lvlJc w:val="left"/>
      <w:pPr>
        <w:ind w:left="3920" w:hanging="420"/>
      </w:pPr>
      <w:rPr>
        <w:rFonts w:hint="default"/>
        <w:w w:val="100"/>
      </w:rPr>
    </w:lvl>
    <w:lvl w:ilvl="8" w:tentative="0">
      <w:start w:val="1"/>
      <w:numFmt w:val="lowerRoman"/>
      <w:lvlText w:val="%9."/>
      <w:lvlJc w:val="right"/>
      <w:pPr>
        <w:ind w:left="4340" w:hanging="420"/>
      </w:pPr>
      <w:rPr>
        <w:rFonts w:hint="default"/>
        <w:w w:val="100"/>
      </w:rPr>
    </w:lvl>
  </w:abstractNum>
  <w:abstractNum w:abstractNumId="29">
    <w:nsid w:val="31A24394"/>
    <w:multiLevelType w:val="multilevel"/>
    <w:tmpl w:val="31A24394"/>
    <w:lvl w:ilvl="0" w:tentative="0">
      <w:start w:val="1"/>
      <w:numFmt w:val="decimal"/>
      <w:lvlText w:val="%1."/>
      <w:lvlJc w:val="left"/>
      <w:pPr>
        <w:ind w:left="420" w:hanging="420"/>
      </w:pPr>
      <w:rPr>
        <w:rFonts w:hint="default"/>
        <w:w w:val="100"/>
      </w:rPr>
    </w:lvl>
    <w:lvl w:ilvl="1" w:tentative="0">
      <w:start w:val="1"/>
      <w:numFmt w:val="lowerLetter"/>
      <w:lvlText w:val="%2)"/>
      <w:lvlJc w:val="left"/>
      <w:pPr>
        <w:ind w:left="1260" w:hanging="420"/>
      </w:pPr>
      <w:rPr>
        <w:rFonts w:hint="default"/>
        <w:w w:val="100"/>
      </w:rPr>
    </w:lvl>
    <w:lvl w:ilvl="2" w:tentative="0">
      <w:start w:val="1"/>
      <w:numFmt w:val="lowerRoman"/>
      <w:lvlText w:val="%3."/>
      <w:lvlJc w:val="right"/>
      <w:pPr>
        <w:ind w:left="1680" w:hanging="420"/>
      </w:pPr>
      <w:rPr>
        <w:rFonts w:hint="default"/>
        <w:w w:val="100"/>
      </w:rPr>
    </w:lvl>
    <w:lvl w:ilvl="3" w:tentative="0">
      <w:start w:val="1"/>
      <w:numFmt w:val="decimal"/>
      <w:lvlText w:val="%4."/>
      <w:lvlJc w:val="left"/>
      <w:pPr>
        <w:ind w:left="2100" w:hanging="420"/>
      </w:pPr>
      <w:rPr>
        <w:rFonts w:hint="default"/>
        <w:w w:val="100"/>
      </w:rPr>
    </w:lvl>
    <w:lvl w:ilvl="4" w:tentative="0">
      <w:start w:val="1"/>
      <w:numFmt w:val="lowerLetter"/>
      <w:lvlText w:val="%5)"/>
      <w:lvlJc w:val="left"/>
      <w:pPr>
        <w:ind w:left="2520" w:hanging="420"/>
      </w:pPr>
      <w:rPr>
        <w:rFonts w:hint="default"/>
        <w:w w:val="100"/>
      </w:rPr>
    </w:lvl>
    <w:lvl w:ilvl="5" w:tentative="0">
      <w:start w:val="1"/>
      <w:numFmt w:val="lowerRoman"/>
      <w:lvlText w:val="%6."/>
      <w:lvlJc w:val="right"/>
      <w:pPr>
        <w:ind w:left="2940" w:hanging="420"/>
      </w:pPr>
      <w:rPr>
        <w:rFonts w:hint="default"/>
        <w:w w:val="100"/>
      </w:rPr>
    </w:lvl>
    <w:lvl w:ilvl="6" w:tentative="0">
      <w:start w:val="1"/>
      <w:numFmt w:val="decimal"/>
      <w:lvlText w:val="%7."/>
      <w:lvlJc w:val="left"/>
      <w:pPr>
        <w:ind w:left="3360" w:hanging="420"/>
      </w:pPr>
      <w:rPr>
        <w:rFonts w:hint="default"/>
        <w:w w:val="100"/>
      </w:rPr>
    </w:lvl>
    <w:lvl w:ilvl="7" w:tentative="0">
      <w:start w:val="1"/>
      <w:numFmt w:val="lowerLetter"/>
      <w:lvlText w:val="%8)"/>
      <w:lvlJc w:val="left"/>
      <w:pPr>
        <w:ind w:left="3780" w:hanging="420"/>
      </w:pPr>
      <w:rPr>
        <w:rFonts w:hint="default"/>
        <w:w w:val="100"/>
      </w:rPr>
    </w:lvl>
    <w:lvl w:ilvl="8" w:tentative="0">
      <w:start w:val="1"/>
      <w:numFmt w:val="lowerRoman"/>
      <w:lvlText w:val="%9."/>
      <w:lvlJc w:val="right"/>
      <w:pPr>
        <w:ind w:left="4200" w:hanging="420"/>
      </w:pPr>
      <w:rPr>
        <w:rFonts w:hint="default"/>
        <w:w w:val="100"/>
      </w:rPr>
    </w:lvl>
  </w:abstractNum>
  <w:abstractNum w:abstractNumId="30">
    <w:nsid w:val="35F0AF2A"/>
    <w:multiLevelType w:val="multilevel"/>
    <w:tmpl w:val="35F0AF2A"/>
    <w:lvl w:ilvl="0" w:tentative="0">
      <w:start w:val="1"/>
      <w:numFmt w:val="lowerLetter"/>
      <w:lvlText w:val="%1)"/>
      <w:lvlJc w:val="left"/>
      <w:pPr>
        <w:ind w:left="560" w:hanging="420"/>
      </w:pPr>
      <w:rPr>
        <w:rFonts w:hint="default"/>
        <w:w w:val="100"/>
      </w:rPr>
    </w:lvl>
    <w:lvl w:ilvl="1" w:tentative="0">
      <w:start w:val="1"/>
      <w:numFmt w:val="lowerLetter"/>
      <w:lvlText w:val="%2)"/>
      <w:lvlJc w:val="left"/>
      <w:pPr>
        <w:ind w:left="1400" w:hanging="420"/>
      </w:pPr>
      <w:rPr>
        <w:rFonts w:hint="default"/>
        <w:w w:val="100"/>
      </w:rPr>
    </w:lvl>
    <w:lvl w:ilvl="2" w:tentative="0">
      <w:start w:val="1"/>
      <w:numFmt w:val="lowerRoman"/>
      <w:lvlText w:val="%3."/>
      <w:lvlJc w:val="right"/>
      <w:pPr>
        <w:ind w:left="1820" w:hanging="420"/>
      </w:pPr>
      <w:rPr>
        <w:rFonts w:hint="default"/>
        <w:w w:val="100"/>
      </w:rPr>
    </w:lvl>
    <w:lvl w:ilvl="3" w:tentative="0">
      <w:start w:val="1"/>
      <w:numFmt w:val="decimal"/>
      <w:lvlText w:val="%4."/>
      <w:lvlJc w:val="left"/>
      <w:pPr>
        <w:ind w:left="2240" w:hanging="420"/>
      </w:pPr>
      <w:rPr>
        <w:rFonts w:hint="default"/>
        <w:w w:val="100"/>
      </w:rPr>
    </w:lvl>
    <w:lvl w:ilvl="4" w:tentative="0">
      <w:start w:val="1"/>
      <w:numFmt w:val="lowerLetter"/>
      <w:lvlText w:val="%5)"/>
      <w:lvlJc w:val="left"/>
      <w:pPr>
        <w:ind w:left="2660" w:hanging="420"/>
      </w:pPr>
      <w:rPr>
        <w:rFonts w:hint="default"/>
        <w:w w:val="100"/>
      </w:rPr>
    </w:lvl>
    <w:lvl w:ilvl="5" w:tentative="0">
      <w:start w:val="1"/>
      <w:numFmt w:val="lowerRoman"/>
      <w:lvlText w:val="%6."/>
      <w:lvlJc w:val="right"/>
      <w:pPr>
        <w:ind w:left="3080" w:hanging="420"/>
      </w:pPr>
      <w:rPr>
        <w:rFonts w:hint="default"/>
        <w:w w:val="100"/>
      </w:rPr>
    </w:lvl>
    <w:lvl w:ilvl="6" w:tentative="0">
      <w:start w:val="1"/>
      <w:numFmt w:val="decimal"/>
      <w:lvlText w:val="%7."/>
      <w:lvlJc w:val="left"/>
      <w:pPr>
        <w:ind w:left="3500" w:hanging="420"/>
      </w:pPr>
      <w:rPr>
        <w:rFonts w:hint="default"/>
        <w:w w:val="100"/>
      </w:rPr>
    </w:lvl>
    <w:lvl w:ilvl="7" w:tentative="0">
      <w:start w:val="1"/>
      <w:numFmt w:val="lowerLetter"/>
      <w:lvlText w:val="%8)"/>
      <w:lvlJc w:val="left"/>
      <w:pPr>
        <w:ind w:left="3920" w:hanging="420"/>
      </w:pPr>
      <w:rPr>
        <w:rFonts w:hint="default"/>
        <w:w w:val="100"/>
      </w:rPr>
    </w:lvl>
    <w:lvl w:ilvl="8" w:tentative="0">
      <w:start w:val="1"/>
      <w:numFmt w:val="lowerRoman"/>
      <w:lvlText w:val="%9."/>
      <w:lvlJc w:val="right"/>
      <w:pPr>
        <w:ind w:left="4340" w:hanging="420"/>
      </w:pPr>
      <w:rPr>
        <w:rFonts w:hint="default"/>
        <w:w w:val="100"/>
      </w:rPr>
    </w:lvl>
  </w:abstractNum>
  <w:abstractNum w:abstractNumId="31">
    <w:nsid w:val="3AD416ED"/>
    <w:multiLevelType w:val="multilevel"/>
    <w:tmpl w:val="3AD416ED"/>
    <w:lvl w:ilvl="0" w:tentative="0">
      <w:start w:val="1"/>
      <w:numFmt w:val="chineseCountingThousand"/>
      <w:lvlText w:val="%1、"/>
      <w:lvlJc w:val="left"/>
      <w:pPr>
        <w:ind w:left="0" w:hanging="425"/>
      </w:pPr>
      <w:rPr>
        <w:rFonts w:hint="default"/>
        <w:b w:val="0"/>
        <w:color w:val="000000"/>
        <w:w w:val="0"/>
      </w:rPr>
    </w:lvl>
    <w:lvl w:ilvl="1" w:tentative="0">
      <w:start w:val="1"/>
      <w:numFmt w:val="decimal"/>
      <w:lvlText w:val="%1.%2."/>
      <w:lvlJc w:val="left"/>
      <w:pPr>
        <w:ind w:left="567" w:hanging="567"/>
      </w:pPr>
      <w:rPr>
        <w:rFonts w:hint="default" w:ascii="Times New Roman" w:hAnsi="Times New Roman"/>
        <w:b w:val="0"/>
        <w:color w:val="000000"/>
        <w:w w:val="0"/>
      </w:rPr>
    </w:lvl>
    <w:lvl w:ilvl="2" w:tentative="0">
      <w:start w:val="1"/>
      <w:numFmt w:val="decimal"/>
      <w:lvlText w:val="%1.%2.%3."/>
      <w:lvlJc w:val="left"/>
      <w:pPr>
        <w:ind w:left="709" w:hanging="709"/>
      </w:pPr>
      <w:rPr>
        <w:rFonts w:hint="default" w:ascii="Times New Roman" w:hAnsi="Times New Roman"/>
        <w:b w:val="0"/>
        <w:w w:val="100"/>
      </w:rPr>
    </w:lvl>
    <w:lvl w:ilvl="3" w:tentative="0">
      <w:start w:val="1"/>
      <w:numFmt w:val="decimal"/>
      <w:lvlText w:val="%1.%2.%3.%4."/>
      <w:lvlJc w:val="left"/>
      <w:pPr>
        <w:ind w:left="851" w:hanging="851"/>
      </w:pPr>
      <w:rPr>
        <w:rFonts w:hint="default"/>
        <w:w w:val="100"/>
      </w:rPr>
    </w:lvl>
    <w:lvl w:ilvl="4" w:tentative="0">
      <w:start w:val="1"/>
      <w:numFmt w:val="decimal"/>
      <w:lvlText w:val="%1.%2.%3.%4.%5."/>
      <w:lvlJc w:val="left"/>
      <w:pPr>
        <w:ind w:left="992" w:hanging="992"/>
      </w:pPr>
      <w:rPr>
        <w:rFonts w:hint="default"/>
        <w:color w:val="000000"/>
        <w:w w:val="100"/>
      </w:rPr>
    </w:lvl>
    <w:lvl w:ilvl="5" w:tentative="0">
      <w:start w:val="1"/>
      <w:numFmt w:val="decimal"/>
      <w:lvlText w:val="%6)"/>
      <w:lvlJc w:val="left"/>
      <w:pPr>
        <w:ind w:left="1134" w:hanging="567"/>
      </w:pPr>
      <w:rPr>
        <w:rFonts w:hint="default"/>
        <w:b w:val="0"/>
        <w:w w:val="100"/>
      </w:rPr>
    </w:lvl>
    <w:lvl w:ilvl="6" w:tentative="0">
      <w:start w:val="1"/>
      <w:numFmt w:val="lowerLetter"/>
      <w:lvlText w:val="%7)"/>
      <w:lvlJc w:val="left"/>
      <w:pPr>
        <w:ind w:left="1701" w:hanging="567"/>
      </w:pPr>
      <w:rPr>
        <w:rFonts w:hint="default"/>
        <w:w w:val="100"/>
      </w:rPr>
    </w:lvl>
    <w:lvl w:ilvl="7" w:tentative="0">
      <w:start w:val="1"/>
      <w:numFmt w:val="lowerRoman"/>
      <w:lvlText w:val="%8)"/>
      <w:lvlJc w:val="left"/>
      <w:pPr>
        <w:ind w:left="2268" w:hanging="567"/>
      </w:pPr>
      <w:rPr>
        <w:rFonts w:hint="default"/>
        <w:w w:val="100"/>
      </w:rPr>
    </w:lvl>
    <w:lvl w:ilvl="8" w:tentative="0">
      <w:start w:val="1"/>
      <w:numFmt w:val="bullet"/>
      <w:lvlText w:val="¨"/>
      <w:lvlJc w:val="left"/>
      <w:pPr>
        <w:ind w:left="25515" w:hanging="567"/>
      </w:pPr>
      <w:rPr>
        <w:rFonts w:hint="default" w:ascii="Symbol" w:hAnsi="Symbol"/>
        <w:w w:val="100"/>
      </w:rPr>
    </w:lvl>
  </w:abstractNum>
  <w:abstractNum w:abstractNumId="32">
    <w:nsid w:val="40B63FD8"/>
    <w:multiLevelType w:val="multilevel"/>
    <w:tmpl w:val="40B63FD8"/>
    <w:lvl w:ilvl="0" w:tentative="0">
      <w:start w:val="1"/>
      <w:numFmt w:val="chineseCountingThousand"/>
      <w:lvlText w:val="%1、"/>
      <w:lvlJc w:val="left"/>
      <w:pPr>
        <w:ind w:left="0" w:hanging="425"/>
      </w:pPr>
      <w:rPr>
        <w:rFonts w:hint="default"/>
        <w:b w:val="0"/>
        <w:color w:val="000000"/>
        <w:w w:val="0"/>
      </w:rPr>
    </w:lvl>
    <w:lvl w:ilvl="1" w:tentative="0">
      <w:start w:val="1"/>
      <w:numFmt w:val="decimal"/>
      <w:lvlText w:val="%1.%2."/>
      <w:lvlJc w:val="left"/>
      <w:pPr>
        <w:ind w:left="567" w:hanging="567"/>
      </w:pPr>
      <w:rPr>
        <w:rFonts w:hint="default" w:ascii="Times New Roman" w:hAnsi="Times New Roman"/>
        <w:b w:val="0"/>
        <w:color w:val="000000"/>
        <w:w w:val="0"/>
      </w:rPr>
    </w:lvl>
    <w:lvl w:ilvl="2" w:tentative="0">
      <w:start w:val="1"/>
      <w:numFmt w:val="decimal"/>
      <w:lvlText w:val="%1.%2.%3."/>
      <w:lvlJc w:val="left"/>
      <w:pPr>
        <w:ind w:left="709" w:hanging="709"/>
      </w:pPr>
      <w:rPr>
        <w:rFonts w:hint="default" w:ascii="Times New Roman" w:hAnsi="Times New Roman"/>
        <w:b w:val="0"/>
        <w:w w:val="100"/>
      </w:rPr>
    </w:lvl>
    <w:lvl w:ilvl="3" w:tentative="0">
      <w:start w:val="1"/>
      <w:numFmt w:val="decimal"/>
      <w:lvlText w:val="%1.%2.%3.%4."/>
      <w:lvlJc w:val="left"/>
      <w:pPr>
        <w:ind w:left="851" w:hanging="851"/>
      </w:pPr>
      <w:rPr>
        <w:rFonts w:hint="default"/>
        <w:w w:val="100"/>
      </w:rPr>
    </w:lvl>
    <w:lvl w:ilvl="4" w:tentative="0">
      <w:start w:val="1"/>
      <w:numFmt w:val="decimal"/>
      <w:lvlText w:val="%1.%2.%3.%4.%5."/>
      <w:lvlJc w:val="left"/>
      <w:pPr>
        <w:ind w:left="992" w:hanging="992"/>
      </w:pPr>
      <w:rPr>
        <w:rFonts w:hint="default"/>
        <w:color w:val="000000"/>
        <w:w w:val="100"/>
      </w:rPr>
    </w:lvl>
    <w:lvl w:ilvl="5" w:tentative="0">
      <w:start w:val="1"/>
      <w:numFmt w:val="decimal"/>
      <w:lvlText w:val="%6)"/>
      <w:lvlJc w:val="left"/>
      <w:pPr>
        <w:ind w:left="1134" w:hanging="567"/>
      </w:pPr>
      <w:rPr>
        <w:rFonts w:hint="default"/>
        <w:b w:val="0"/>
        <w:w w:val="100"/>
      </w:rPr>
    </w:lvl>
    <w:lvl w:ilvl="6" w:tentative="0">
      <w:start w:val="1"/>
      <w:numFmt w:val="lowerLetter"/>
      <w:lvlText w:val="%7)"/>
      <w:lvlJc w:val="left"/>
      <w:pPr>
        <w:ind w:left="1701" w:hanging="567"/>
      </w:pPr>
      <w:rPr>
        <w:rFonts w:hint="default"/>
        <w:w w:val="100"/>
      </w:rPr>
    </w:lvl>
    <w:lvl w:ilvl="7" w:tentative="0">
      <w:start w:val="1"/>
      <w:numFmt w:val="lowerRoman"/>
      <w:lvlText w:val="%8)"/>
      <w:lvlJc w:val="left"/>
      <w:pPr>
        <w:ind w:left="2268" w:hanging="567"/>
      </w:pPr>
      <w:rPr>
        <w:rFonts w:hint="default"/>
        <w:w w:val="100"/>
      </w:rPr>
    </w:lvl>
    <w:lvl w:ilvl="8" w:tentative="0">
      <w:start w:val="1"/>
      <w:numFmt w:val="bullet"/>
      <w:lvlText w:val="¨"/>
      <w:lvlJc w:val="left"/>
      <w:pPr>
        <w:ind w:left="25515" w:hanging="567"/>
      </w:pPr>
      <w:rPr>
        <w:rFonts w:hint="default" w:ascii="Symbol" w:hAnsi="Symbol"/>
        <w:w w:val="100"/>
      </w:rPr>
    </w:lvl>
  </w:abstractNum>
  <w:abstractNum w:abstractNumId="33">
    <w:nsid w:val="4B3F7C60"/>
    <w:multiLevelType w:val="multilevel"/>
    <w:tmpl w:val="4B3F7C60"/>
    <w:lvl w:ilvl="0" w:tentative="0">
      <w:start w:val="1"/>
      <w:numFmt w:val="decimal"/>
      <w:pStyle w:val="97"/>
      <w:lvlText w:val="（%1）"/>
      <w:lvlJc w:val="left"/>
      <w:pPr>
        <w:ind w:left="1167" w:hanging="60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4">
    <w:nsid w:val="573E36CB"/>
    <w:multiLevelType w:val="multilevel"/>
    <w:tmpl w:val="573E36CB"/>
    <w:lvl w:ilvl="0" w:tentative="0">
      <w:start w:val="1"/>
      <w:numFmt w:val="lowerLetter"/>
      <w:lvlText w:val="%1)"/>
      <w:lvlJc w:val="left"/>
      <w:pPr>
        <w:ind w:left="560" w:hanging="420"/>
      </w:pPr>
      <w:rPr>
        <w:rFonts w:hint="default"/>
        <w:w w:val="100"/>
      </w:rPr>
    </w:lvl>
    <w:lvl w:ilvl="1" w:tentative="0">
      <w:start w:val="1"/>
      <w:numFmt w:val="lowerLetter"/>
      <w:lvlText w:val="%2)"/>
      <w:lvlJc w:val="left"/>
      <w:pPr>
        <w:ind w:left="1400" w:hanging="420"/>
      </w:pPr>
      <w:rPr>
        <w:rFonts w:hint="default"/>
        <w:w w:val="100"/>
      </w:rPr>
    </w:lvl>
    <w:lvl w:ilvl="2" w:tentative="0">
      <w:start w:val="1"/>
      <w:numFmt w:val="lowerRoman"/>
      <w:lvlText w:val="%3."/>
      <w:lvlJc w:val="right"/>
      <w:pPr>
        <w:ind w:left="1820" w:hanging="420"/>
      </w:pPr>
      <w:rPr>
        <w:rFonts w:hint="default"/>
        <w:w w:val="100"/>
      </w:rPr>
    </w:lvl>
    <w:lvl w:ilvl="3" w:tentative="0">
      <w:start w:val="1"/>
      <w:numFmt w:val="decimal"/>
      <w:lvlText w:val="%4."/>
      <w:lvlJc w:val="left"/>
      <w:pPr>
        <w:ind w:left="2240" w:hanging="420"/>
      </w:pPr>
      <w:rPr>
        <w:rFonts w:hint="default"/>
        <w:w w:val="100"/>
      </w:rPr>
    </w:lvl>
    <w:lvl w:ilvl="4" w:tentative="0">
      <w:start w:val="1"/>
      <w:numFmt w:val="lowerLetter"/>
      <w:lvlText w:val="%5)"/>
      <w:lvlJc w:val="left"/>
      <w:pPr>
        <w:ind w:left="2660" w:hanging="420"/>
      </w:pPr>
      <w:rPr>
        <w:rFonts w:hint="default"/>
        <w:w w:val="100"/>
      </w:rPr>
    </w:lvl>
    <w:lvl w:ilvl="5" w:tentative="0">
      <w:start w:val="1"/>
      <w:numFmt w:val="lowerRoman"/>
      <w:lvlText w:val="%6."/>
      <w:lvlJc w:val="right"/>
      <w:pPr>
        <w:ind w:left="3080" w:hanging="420"/>
      </w:pPr>
      <w:rPr>
        <w:rFonts w:hint="default"/>
        <w:w w:val="100"/>
      </w:rPr>
    </w:lvl>
    <w:lvl w:ilvl="6" w:tentative="0">
      <w:start w:val="1"/>
      <w:numFmt w:val="decimal"/>
      <w:lvlText w:val="%7."/>
      <w:lvlJc w:val="left"/>
      <w:pPr>
        <w:ind w:left="3500" w:hanging="420"/>
      </w:pPr>
      <w:rPr>
        <w:rFonts w:hint="default"/>
        <w:w w:val="100"/>
      </w:rPr>
    </w:lvl>
    <w:lvl w:ilvl="7" w:tentative="0">
      <w:start w:val="1"/>
      <w:numFmt w:val="lowerLetter"/>
      <w:lvlText w:val="%8)"/>
      <w:lvlJc w:val="left"/>
      <w:pPr>
        <w:ind w:left="3920" w:hanging="420"/>
      </w:pPr>
      <w:rPr>
        <w:rFonts w:hint="default"/>
        <w:w w:val="100"/>
      </w:rPr>
    </w:lvl>
    <w:lvl w:ilvl="8" w:tentative="0">
      <w:start w:val="1"/>
      <w:numFmt w:val="lowerRoman"/>
      <w:lvlText w:val="%9."/>
      <w:lvlJc w:val="right"/>
      <w:pPr>
        <w:ind w:left="4340" w:hanging="420"/>
      </w:pPr>
      <w:rPr>
        <w:rFonts w:hint="default"/>
        <w:w w:val="100"/>
      </w:rPr>
    </w:lvl>
  </w:abstractNum>
  <w:abstractNum w:abstractNumId="35">
    <w:nsid w:val="577E52A4"/>
    <w:multiLevelType w:val="multilevel"/>
    <w:tmpl w:val="577E52A4"/>
    <w:lvl w:ilvl="0" w:tentative="0">
      <w:start w:val="1"/>
      <w:numFmt w:val="chineseCountingThousand"/>
      <w:lvlText w:val="%1、"/>
      <w:lvlJc w:val="left"/>
      <w:pPr>
        <w:ind w:left="0" w:hanging="425"/>
      </w:pPr>
      <w:rPr>
        <w:rFonts w:hint="default"/>
        <w:b w:val="0"/>
        <w:color w:val="000000"/>
        <w:w w:val="0"/>
      </w:rPr>
    </w:lvl>
    <w:lvl w:ilvl="1" w:tentative="0">
      <w:start w:val="1"/>
      <w:numFmt w:val="decimal"/>
      <w:lvlText w:val="%1.%2."/>
      <w:lvlJc w:val="left"/>
      <w:pPr>
        <w:ind w:left="567" w:hanging="567"/>
      </w:pPr>
      <w:rPr>
        <w:rFonts w:hint="default" w:ascii="Times New Roman" w:hAnsi="Times New Roman"/>
        <w:b w:val="0"/>
        <w:color w:val="000000"/>
        <w:w w:val="0"/>
      </w:rPr>
    </w:lvl>
    <w:lvl w:ilvl="2" w:tentative="0">
      <w:start w:val="1"/>
      <w:numFmt w:val="decimal"/>
      <w:lvlText w:val="%1.%2.%3."/>
      <w:lvlJc w:val="left"/>
      <w:pPr>
        <w:ind w:left="709" w:hanging="709"/>
      </w:pPr>
      <w:rPr>
        <w:rFonts w:hint="default" w:ascii="Times New Roman" w:hAnsi="Times New Roman"/>
        <w:b w:val="0"/>
        <w:w w:val="100"/>
      </w:rPr>
    </w:lvl>
    <w:lvl w:ilvl="3" w:tentative="0">
      <w:start w:val="1"/>
      <w:numFmt w:val="decimal"/>
      <w:lvlText w:val="%1.%2.%3.%4."/>
      <w:lvlJc w:val="left"/>
      <w:pPr>
        <w:ind w:left="851" w:hanging="851"/>
      </w:pPr>
      <w:rPr>
        <w:rFonts w:hint="default"/>
        <w:w w:val="100"/>
      </w:rPr>
    </w:lvl>
    <w:lvl w:ilvl="4" w:tentative="0">
      <w:start w:val="1"/>
      <w:numFmt w:val="decimal"/>
      <w:lvlText w:val="%1.%2.%3.%4.%5."/>
      <w:lvlJc w:val="left"/>
      <w:pPr>
        <w:ind w:left="992" w:hanging="992"/>
      </w:pPr>
      <w:rPr>
        <w:rFonts w:hint="default"/>
        <w:color w:val="000000"/>
        <w:w w:val="100"/>
      </w:rPr>
    </w:lvl>
    <w:lvl w:ilvl="5" w:tentative="0">
      <w:start w:val="1"/>
      <w:numFmt w:val="decimal"/>
      <w:lvlText w:val="%6)"/>
      <w:lvlJc w:val="left"/>
      <w:pPr>
        <w:ind w:left="1134" w:hanging="567"/>
      </w:pPr>
      <w:rPr>
        <w:rFonts w:hint="default"/>
        <w:b w:val="0"/>
        <w:w w:val="100"/>
      </w:rPr>
    </w:lvl>
    <w:lvl w:ilvl="6" w:tentative="0">
      <w:start w:val="1"/>
      <w:numFmt w:val="lowerLetter"/>
      <w:lvlText w:val="%7)"/>
      <w:lvlJc w:val="left"/>
      <w:pPr>
        <w:ind w:left="1701" w:hanging="567"/>
      </w:pPr>
      <w:rPr>
        <w:rFonts w:hint="default"/>
        <w:w w:val="100"/>
      </w:rPr>
    </w:lvl>
    <w:lvl w:ilvl="7" w:tentative="0">
      <w:start w:val="1"/>
      <w:numFmt w:val="lowerRoman"/>
      <w:lvlText w:val="%8)"/>
      <w:lvlJc w:val="left"/>
      <w:pPr>
        <w:ind w:left="2268" w:hanging="567"/>
      </w:pPr>
      <w:rPr>
        <w:rFonts w:hint="default"/>
        <w:w w:val="100"/>
      </w:rPr>
    </w:lvl>
    <w:lvl w:ilvl="8" w:tentative="0">
      <w:start w:val="1"/>
      <w:numFmt w:val="bullet"/>
      <w:lvlText w:val="¨"/>
      <w:lvlJc w:val="left"/>
      <w:pPr>
        <w:ind w:left="25515" w:hanging="567"/>
      </w:pPr>
      <w:rPr>
        <w:rFonts w:hint="default" w:ascii="Symbol" w:hAnsi="Symbol"/>
        <w:w w:val="100"/>
      </w:rPr>
    </w:lvl>
  </w:abstractNum>
  <w:abstractNum w:abstractNumId="36">
    <w:nsid w:val="5C946295"/>
    <w:multiLevelType w:val="multilevel"/>
    <w:tmpl w:val="5C946295"/>
    <w:lvl w:ilvl="0" w:tentative="0">
      <w:start w:val="1"/>
      <w:numFmt w:val="chineseCountingThousand"/>
      <w:lvlText w:val="%1、"/>
      <w:lvlJc w:val="left"/>
      <w:pPr>
        <w:ind w:left="0" w:hanging="425"/>
      </w:pPr>
      <w:rPr>
        <w:rFonts w:hint="default"/>
        <w:b w:val="0"/>
        <w:color w:val="000000"/>
        <w:w w:val="0"/>
      </w:rPr>
    </w:lvl>
    <w:lvl w:ilvl="1" w:tentative="0">
      <w:start w:val="1"/>
      <w:numFmt w:val="decimal"/>
      <w:lvlText w:val="%1.%2."/>
      <w:lvlJc w:val="left"/>
      <w:pPr>
        <w:ind w:left="567" w:hanging="567"/>
      </w:pPr>
      <w:rPr>
        <w:rFonts w:hint="default" w:ascii="Times New Roman" w:hAnsi="Times New Roman"/>
        <w:b w:val="0"/>
        <w:color w:val="000000"/>
        <w:w w:val="0"/>
      </w:rPr>
    </w:lvl>
    <w:lvl w:ilvl="2" w:tentative="0">
      <w:start w:val="1"/>
      <w:numFmt w:val="decimal"/>
      <w:lvlText w:val="%1.%2.%3."/>
      <w:lvlJc w:val="left"/>
      <w:pPr>
        <w:ind w:left="709" w:hanging="709"/>
      </w:pPr>
      <w:rPr>
        <w:rFonts w:hint="default" w:ascii="Times New Roman" w:hAnsi="Times New Roman"/>
        <w:b w:val="0"/>
        <w:w w:val="100"/>
      </w:rPr>
    </w:lvl>
    <w:lvl w:ilvl="3" w:tentative="0">
      <w:start w:val="1"/>
      <w:numFmt w:val="decimal"/>
      <w:lvlText w:val="%1.%2.%3.%4."/>
      <w:lvlJc w:val="left"/>
      <w:pPr>
        <w:ind w:left="851" w:hanging="851"/>
      </w:pPr>
      <w:rPr>
        <w:rFonts w:hint="default"/>
        <w:w w:val="100"/>
      </w:rPr>
    </w:lvl>
    <w:lvl w:ilvl="4" w:tentative="0">
      <w:start w:val="1"/>
      <w:numFmt w:val="decimal"/>
      <w:lvlText w:val="%1.%2.%3.%4.%5."/>
      <w:lvlJc w:val="left"/>
      <w:pPr>
        <w:ind w:left="992" w:hanging="992"/>
      </w:pPr>
      <w:rPr>
        <w:rFonts w:hint="default"/>
        <w:color w:val="000000"/>
        <w:w w:val="100"/>
      </w:rPr>
    </w:lvl>
    <w:lvl w:ilvl="5" w:tentative="0">
      <w:start w:val="1"/>
      <w:numFmt w:val="decimal"/>
      <w:lvlText w:val="%6)"/>
      <w:lvlJc w:val="left"/>
      <w:pPr>
        <w:ind w:left="1134" w:hanging="567"/>
      </w:pPr>
      <w:rPr>
        <w:rFonts w:hint="default"/>
        <w:b w:val="0"/>
        <w:w w:val="100"/>
      </w:rPr>
    </w:lvl>
    <w:lvl w:ilvl="6" w:tentative="0">
      <w:start w:val="1"/>
      <w:numFmt w:val="lowerLetter"/>
      <w:lvlText w:val="%7)"/>
      <w:lvlJc w:val="left"/>
      <w:pPr>
        <w:ind w:left="1701" w:hanging="567"/>
      </w:pPr>
      <w:rPr>
        <w:rFonts w:hint="default"/>
        <w:w w:val="100"/>
      </w:rPr>
    </w:lvl>
    <w:lvl w:ilvl="7" w:tentative="0">
      <w:start w:val="1"/>
      <w:numFmt w:val="lowerRoman"/>
      <w:lvlText w:val="%8)"/>
      <w:lvlJc w:val="left"/>
      <w:pPr>
        <w:ind w:left="2268" w:hanging="567"/>
      </w:pPr>
      <w:rPr>
        <w:rFonts w:hint="default"/>
        <w:w w:val="100"/>
      </w:rPr>
    </w:lvl>
    <w:lvl w:ilvl="8" w:tentative="0">
      <w:start w:val="1"/>
      <w:numFmt w:val="bullet"/>
      <w:lvlText w:val="¨"/>
      <w:lvlJc w:val="left"/>
      <w:pPr>
        <w:ind w:left="25515" w:hanging="567"/>
      </w:pPr>
      <w:rPr>
        <w:rFonts w:hint="default" w:ascii="Symbol" w:hAnsi="Symbol"/>
        <w:w w:val="100"/>
      </w:rPr>
    </w:lvl>
  </w:abstractNum>
  <w:abstractNum w:abstractNumId="37">
    <w:nsid w:val="5C946296"/>
    <w:multiLevelType w:val="singleLevel"/>
    <w:tmpl w:val="5C946296"/>
    <w:lvl w:ilvl="0" w:tentative="0">
      <w:start w:val="1"/>
      <w:numFmt w:val="bullet"/>
      <w:lvlText w:val="l"/>
      <w:lvlJc w:val="left"/>
      <w:pPr>
        <w:ind w:left="567" w:hanging="567"/>
      </w:pPr>
      <w:rPr>
        <w:rFonts w:hint="default" w:ascii="Wingdings" w:hAnsi="Wingdings"/>
        <w:b w:val="0"/>
        <w:w w:val="100"/>
      </w:rPr>
    </w:lvl>
  </w:abstractNum>
  <w:abstractNum w:abstractNumId="38">
    <w:nsid w:val="5C946297"/>
    <w:multiLevelType w:val="singleLevel"/>
    <w:tmpl w:val="5C946297"/>
    <w:lvl w:ilvl="0" w:tentative="0">
      <w:start w:val="1"/>
      <w:numFmt w:val="decimal"/>
      <w:suff w:val="space"/>
      <w:lvlText w:val="%1）"/>
      <w:lvlJc w:val="left"/>
      <w:pPr>
        <w:ind w:left="0" w:firstLine="0"/>
      </w:pPr>
      <w:rPr>
        <w:rFonts w:hint="default"/>
        <w:w w:val="100"/>
      </w:rPr>
    </w:lvl>
  </w:abstractNum>
  <w:abstractNum w:abstractNumId="39">
    <w:nsid w:val="5C946298"/>
    <w:multiLevelType w:val="multilevel"/>
    <w:tmpl w:val="5C946298"/>
    <w:lvl w:ilvl="0" w:tentative="0">
      <w:start w:val="1"/>
      <w:numFmt w:val="decimal"/>
      <w:lvlText w:val="%1."/>
      <w:lvlJc w:val="left"/>
      <w:pPr>
        <w:ind w:left="420" w:hanging="420"/>
      </w:pPr>
      <w:rPr>
        <w:rFonts w:hint="default"/>
        <w:w w:val="100"/>
      </w:rPr>
    </w:lvl>
    <w:lvl w:ilvl="1" w:tentative="0">
      <w:start w:val="1"/>
      <w:numFmt w:val="lowerLetter"/>
      <w:lvlText w:val="%2)"/>
      <w:lvlJc w:val="left"/>
      <w:pPr>
        <w:ind w:left="1260" w:hanging="420"/>
      </w:pPr>
      <w:rPr>
        <w:rFonts w:hint="default"/>
        <w:w w:val="100"/>
      </w:rPr>
    </w:lvl>
    <w:lvl w:ilvl="2" w:tentative="0">
      <w:start w:val="1"/>
      <w:numFmt w:val="lowerRoman"/>
      <w:lvlText w:val="%3."/>
      <w:lvlJc w:val="right"/>
      <w:pPr>
        <w:ind w:left="1680" w:hanging="420"/>
      </w:pPr>
      <w:rPr>
        <w:rFonts w:hint="default"/>
        <w:w w:val="100"/>
      </w:rPr>
    </w:lvl>
    <w:lvl w:ilvl="3" w:tentative="0">
      <w:start w:val="1"/>
      <w:numFmt w:val="decimal"/>
      <w:lvlText w:val="%4."/>
      <w:lvlJc w:val="left"/>
      <w:pPr>
        <w:ind w:left="2100" w:hanging="420"/>
      </w:pPr>
      <w:rPr>
        <w:rFonts w:hint="default"/>
        <w:w w:val="100"/>
      </w:rPr>
    </w:lvl>
    <w:lvl w:ilvl="4" w:tentative="0">
      <w:start w:val="1"/>
      <w:numFmt w:val="lowerLetter"/>
      <w:lvlText w:val="%5)"/>
      <w:lvlJc w:val="left"/>
      <w:pPr>
        <w:ind w:left="2520" w:hanging="420"/>
      </w:pPr>
      <w:rPr>
        <w:rFonts w:hint="default"/>
        <w:w w:val="100"/>
      </w:rPr>
    </w:lvl>
    <w:lvl w:ilvl="5" w:tentative="0">
      <w:start w:val="1"/>
      <w:numFmt w:val="lowerRoman"/>
      <w:lvlText w:val="%6."/>
      <w:lvlJc w:val="right"/>
      <w:pPr>
        <w:ind w:left="2940" w:hanging="420"/>
      </w:pPr>
      <w:rPr>
        <w:rFonts w:hint="default"/>
        <w:w w:val="100"/>
      </w:rPr>
    </w:lvl>
    <w:lvl w:ilvl="6" w:tentative="0">
      <w:start w:val="1"/>
      <w:numFmt w:val="decimal"/>
      <w:lvlText w:val="%7."/>
      <w:lvlJc w:val="left"/>
      <w:pPr>
        <w:ind w:left="3360" w:hanging="420"/>
      </w:pPr>
      <w:rPr>
        <w:rFonts w:hint="default"/>
        <w:w w:val="100"/>
      </w:rPr>
    </w:lvl>
    <w:lvl w:ilvl="7" w:tentative="0">
      <w:start w:val="1"/>
      <w:numFmt w:val="lowerLetter"/>
      <w:lvlText w:val="%8)"/>
      <w:lvlJc w:val="left"/>
      <w:pPr>
        <w:ind w:left="3780" w:hanging="420"/>
      </w:pPr>
      <w:rPr>
        <w:rFonts w:hint="default"/>
        <w:w w:val="100"/>
      </w:rPr>
    </w:lvl>
    <w:lvl w:ilvl="8" w:tentative="0">
      <w:start w:val="1"/>
      <w:numFmt w:val="lowerRoman"/>
      <w:lvlText w:val="%9."/>
      <w:lvlJc w:val="right"/>
      <w:pPr>
        <w:ind w:left="4200" w:hanging="420"/>
      </w:pPr>
      <w:rPr>
        <w:rFonts w:hint="default"/>
        <w:w w:val="100"/>
      </w:rPr>
    </w:lvl>
  </w:abstractNum>
  <w:abstractNum w:abstractNumId="40">
    <w:nsid w:val="5C946299"/>
    <w:multiLevelType w:val="multilevel"/>
    <w:tmpl w:val="5C946299"/>
    <w:lvl w:ilvl="0" w:tentative="0">
      <w:start w:val="1"/>
      <w:numFmt w:val="decimal"/>
      <w:lvlText w:val="%1、"/>
      <w:lvlJc w:val="left"/>
      <w:pPr>
        <w:ind w:left="0" w:hanging="360"/>
      </w:pPr>
      <w:rPr>
        <w:rFonts w:hint="default"/>
        <w:w w:val="100"/>
      </w:rPr>
    </w:lvl>
    <w:lvl w:ilvl="1" w:tentative="0">
      <w:start w:val="1"/>
      <w:numFmt w:val="decimal"/>
      <w:lvlText w:val="%2."/>
      <w:lvlJc w:val="left"/>
      <w:pPr>
        <w:ind w:left="840" w:hanging="420"/>
      </w:pPr>
      <w:rPr>
        <w:rFonts w:hint="default"/>
        <w:w w:val="100"/>
      </w:rPr>
    </w:lvl>
    <w:lvl w:ilvl="2" w:tentative="0">
      <w:start w:val="1"/>
      <w:numFmt w:val="lowerLetter"/>
      <w:lvlText w:val="%3)"/>
      <w:lvlJc w:val="left"/>
      <w:pPr>
        <w:ind w:left="1260" w:hanging="420"/>
      </w:pPr>
      <w:rPr>
        <w:rFonts w:hint="default"/>
        <w:w w:val="100"/>
      </w:rPr>
    </w:lvl>
    <w:lvl w:ilvl="3" w:tentative="0">
      <w:start w:val="1"/>
      <w:numFmt w:val="decimal"/>
      <w:lvlText w:val="%4."/>
      <w:lvlJc w:val="left"/>
      <w:pPr>
        <w:ind w:left="1680" w:hanging="420"/>
      </w:pPr>
      <w:rPr>
        <w:rFonts w:hint="default"/>
        <w:w w:val="100"/>
      </w:rPr>
    </w:lvl>
    <w:lvl w:ilvl="4" w:tentative="0">
      <w:start w:val="1"/>
      <w:numFmt w:val="lowerLetter"/>
      <w:lvlText w:val="%5)"/>
      <w:lvlJc w:val="left"/>
      <w:pPr>
        <w:ind w:left="2100" w:hanging="420"/>
      </w:pPr>
      <w:rPr>
        <w:rFonts w:hint="default"/>
        <w:w w:val="100"/>
      </w:rPr>
    </w:lvl>
    <w:lvl w:ilvl="5" w:tentative="0">
      <w:start w:val="1"/>
      <w:numFmt w:val="lowerRoman"/>
      <w:lvlText w:val="%6."/>
      <w:lvlJc w:val="right"/>
      <w:pPr>
        <w:ind w:left="2520" w:hanging="420"/>
      </w:pPr>
      <w:rPr>
        <w:rFonts w:hint="default"/>
        <w:w w:val="100"/>
      </w:rPr>
    </w:lvl>
    <w:lvl w:ilvl="6" w:tentative="0">
      <w:start w:val="1"/>
      <w:numFmt w:val="decimal"/>
      <w:lvlText w:val="%7."/>
      <w:lvlJc w:val="left"/>
      <w:pPr>
        <w:ind w:left="2940" w:hanging="420"/>
      </w:pPr>
      <w:rPr>
        <w:rFonts w:hint="default"/>
        <w:w w:val="100"/>
      </w:rPr>
    </w:lvl>
    <w:lvl w:ilvl="7" w:tentative="0">
      <w:start w:val="1"/>
      <w:numFmt w:val="lowerLetter"/>
      <w:lvlText w:val="%8)"/>
      <w:lvlJc w:val="left"/>
      <w:pPr>
        <w:ind w:left="3360" w:hanging="420"/>
      </w:pPr>
      <w:rPr>
        <w:rFonts w:hint="default"/>
        <w:w w:val="100"/>
      </w:rPr>
    </w:lvl>
    <w:lvl w:ilvl="8" w:tentative="0">
      <w:start w:val="1"/>
      <w:numFmt w:val="lowerRoman"/>
      <w:lvlText w:val="%9."/>
      <w:lvlJc w:val="right"/>
      <w:pPr>
        <w:ind w:left="3780" w:hanging="420"/>
      </w:pPr>
      <w:rPr>
        <w:rFonts w:hint="default"/>
        <w:w w:val="100"/>
      </w:rPr>
    </w:lvl>
  </w:abstractNum>
  <w:abstractNum w:abstractNumId="41">
    <w:nsid w:val="5C94629A"/>
    <w:multiLevelType w:val="multilevel"/>
    <w:tmpl w:val="5C94629A"/>
    <w:lvl w:ilvl="0" w:tentative="0">
      <w:start w:val="1"/>
      <w:numFmt w:val="chineseCounting"/>
      <w:lvlText w:val="%1、"/>
      <w:lvlJc w:val="left"/>
      <w:pPr>
        <w:ind w:left="0" w:hanging="360"/>
      </w:pPr>
      <w:rPr>
        <w:rFonts w:hint="default"/>
        <w:w w:val="100"/>
      </w:rPr>
    </w:lvl>
    <w:lvl w:ilvl="1" w:tentative="0">
      <w:start w:val="1"/>
      <w:numFmt w:val="decimal"/>
      <w:lvlText w:val="%2."/>
      <w:lvlJc w:val="left"/>
      <w:pPr>
        <w:ind w:left="840" w:hanging="420"/>
      </w:pPr>
      <w:rPr>
        <w:rFonts w:hint="default"/>
        <w:w w:val="100"/>
      </w:rPr>
    </w:lvl>
    <w:lvl w:ilvl="2" w:tentative="0">
      <w:start w:val="1"/>
      <w:numFmt w:val="lowerLetter"/>
      <w:lvlText w:val="%3)"/>
      <w:lvlJc w:val="left"/>
      <w:pPr>
        <w:ind w:left="1260" w:hanging="420"/>
      </w:pPr>
      <w:rPr>
        <w:rFonts w:hint="default"/>
        <w:w w:val="100"/>
      </w:rPr>
    </w:lvl>
    <w:lvl w:ilvl="3" w:tentative="0">
      <w:start w:val="1"/>
      <w:numFmt w:val="decimal"/>
      <w:lvlText w:val="%4."/>
      <w:lvlJc w:val="left"/>
      <w:pPr>
        <w:ind w:left="1680" w:hanging="420"/>
      </w:pPr>
      <w:rPr>
        <w:rFonts w:hint="default"/>
        <w:w w:val="100"/>
      </w:rPr>
    </w:lvl>
    <w:lvl w:ilvl="4" w:tentative="0">
      <w:start w:val="1"/>
      <w:numFmt w:val="lowerLetter"/>
      <w:lvlText w:val="%5)"/>
      <w:lvlJc w:val="left"/>
      <w:pPr>
        <w:ind w:left="2100" w:hanging="420"/>
      </w:pPr>
      <w:rPr>
        <w:rFonts w:hint="default"/>
        <w:w w:val="100"/>
      </w:rPr>
    </w:lvl>
    <w:lvl w:ilvl="5" w:tentative="0">
      <w:start w:val="1"/>
      <w:numFmt w:val="lowerRoman"/>
      <w:lvlText w:val="%6."/>
      <w:lvlJc w:val="right"/>
      <w:pPr>
        <w:ind w:left="2520" w:hanging="420"/>
      </w:pPr>
      <w:rPr>
        <w:rFonts w:hint="default"/>
        <w:w w:val="100"/>
      </w:rPr>
    </w:lvl>
    <w:lvl w:ilvl="6" w:tentative="0">
      <w:start w:val="1"/>
      <w:numFmt w:val="decimal"/>
      <w:lvlText w:val="%7."/>
      <w:lvlJc w:val="left"/>
      <w:pPr>
        <w:ind w:left="2940" w:hanging="420"/>
      </w:pPr>
      <w:rPr>
        <w:rFonts w:hint="default"/>
        <w:w w:val="100"/>
      </w:rPr>
    </w:lvl>
    <w:lvl w:ilvl="7" w:tentative="0">
      <w:start w:val="1"/>
      <w:numFmt w:val="lowerLetter"/>
      <w:lvlText w:val="%8)"/>
      <w:lvlJc w:val="left"/>
      <w:pPr>
        <w:ind w:left="3360" w:hanging="420"/>
      </w:pPr>
      <w:rPr>
        <w:rFonts w:hint="default"/>
        <w:w w:val="100"/>
      </w:rPr>
    </w:lvl>
    <w:lvl w:ilvl="8" w:tentative="0">
      <w:start w:val="1"/>
      <w:numFmt w:val="lowerRoman"/>
      <w:lvlText w:val="%9."/>
      <w:lvlJc w:val="right"/>
      <w:pPr>
        <w:ind w:left="3780" w:hanging="420"/>
      </w:pPr>
      <w:rPr>
        <w:rFonts w:hint="default"/>
        <w:w w:val="100"/>
      </w:rPr>
    </w:lvl>
  </w:abstractNum>
  <w:abstractNum w:abstractNumId="42">
    <w:nsid w:val="5C94629C"/>
    <w:multiLevelType w:val="multilevel"/>
    <w:tmpl w:val="5C94629C"/>
    <w:lvl w:ilvl="0" w:tentative="0">
      <w:start w:val="1"/>
      <w:numFmt w:val="lowerLetter"/>
      <w:lvlText w:val="%1)"/>
      <w:lvlJc w:val="left"/>
      <w:pPr>
        <w:ind w:left="560" w:hanging="420"/>
      </w:pPr>
      <w:rPr>
        <w:rFonts w:hint="default"/>
        <w:w w:val="100"/>
      </w:rPr>
    </w:lvl>
    <w:lvl w:ilvl="1" w:tentative="0">
      <w:start w:val="1"/>
      <w:numFmt w:val="lowerLetter"/>
      <w:lvlText w:val="%2)"/>
      <w:lvlJc w:val="left"/>
      <w:pPr>
        <w:ind w:left="1400" w:hanging="420"/>
      </w:pPr>
      <w:rPr>
        <w:rFonts w:hint="default"/>
        <w:w w:val="100"/>
      </w:rPr>
    </w:lvl>
    <w:lvl w:ilvl="2" w:tentative="0">
      <w:start w:val="1"/>
      <w:numFmt w:val="lowerRoman"/>
      <w:lvlText w:val="%3."/>
      <w:lvlJc w:val="right"/>
      <w:pPr>
        <w:ind w:left="1820" w:hanging="420"/>
      </w:pPr>
      <w:rPr>
        <w:rFonts w:hint="default"/>
        <w:w w:val="100"/>
      </w:rPr>
    </w:lvl>
    <w:lvl w:ilvl="3" w:tentative="0">
      <w:start w:val="1"/>
      <w:numFmt w:val="decimal"/>
      <w:lvlText w:val="%4."/>
      <w:lvlJc w:val="left"/>
      <w:pPr>
        <w:ind w:left="2240" w:hanging="420"/>
      </w:pPr>
      <w:rPr>
        <w:rFonts w:hint="default"/>
        <w:w w:val="100"/>
      </w:rPr>
    </w:lvl>
    <w:lvl w:ilvl="4" w:tentative="0">
      <w:start w:val="1"/>
      <w:numFmt w:val="lowerLetter"/>
      <w:lvlText w:val="%5)"/>
      <w:lvlJc w:val="left"/>
      <w:pPr>
        <w:ind w:left="2660" w:hanging="420"/>
      </w:pPr>
      <w:rPr>
        <w:rFonts w:hint="default"/>
        <w:w w:val="100"/>
      </w:rPr>
    </w:lvl>
    <w:lvl w:ilvl="5" w:tentative="0">
      <w:start w:val="1"/>
      <w:numFmt w:val="lowerRoman"/>
      <w:lvlText w:val="%6."/>
      <w:lvlJc w:val="right"/>
      <w:pPr>
        <w:ind w:left="3080" w:hanging="420"/>
      </w:pPr>
      <w:rPr>
        <w:rFonts w:hint="default"/>
        <w:w w:val="100"/>
      </w:rPr>
    </w:lvl>
    <w:lvl w:ilvl="6" w:tentative="0">
      <w:start w:val="1"/>
      <w:numFmt w:val="decimal"/>
      <w:lvlText w:val="%7."/>
      <w:lvlJc w:val="left"/>
      <w:pPr>
        <w:ind w:left="3500" w:hanging="420"/>
      </w:pPr>
      <w:rPr>
        <w:rFonts w:hint="default"/>
        <w:w w:val="100"/>
      </w:rPr>
    </w:lvl>
    <w:lvl w:ilvl="7" w:tentative="0">
      <w:start w:val="1"/>
      <w:numFmt w:val="lowerLetter"/>
      <w:lvlText w:val="%8)"/>
      <w:lvlJc w:val="left"/>
      <w:pPr>
        <w:ind w:left="3920" w:hanging="420"/>
      </w:pPr>
      <w:rPr>
        <w:rFonts w:hint="default"/>
        <w:w w:val="100"/>
      </w:rPr>
    </w:lvl>
    <w:lvl w:ilvl="8" w:tentative="0">
      <w:start w:val="1"/>
      <w:numFmt w:val="lowerRoman"/>
      <w:lvlText w:val="%9."/>
      <w:lvlJc w:val="right"/>
      <w:pPr>
        <w:ind w:left="4340" w:hanging="420"/>
      </w:pPr>
      <w:rPr>
        <w:rFonts w:hint="default"/>
        <w:w w:val="100"/>
      </w:rPr>
    </w:lvl>
  </w:abstractNum>
  <w:abstractNum w:abstractNumId="43">
    <w:nsid w:val="5D862954"/>
    <w:multiLevelType w:val="multilevel"/>
    <w:tmpl w:val="5D862954"/>
    <w:lvl w:ilvl="0" w:tentative="0">
      <w:start w:val="1"/>
      <w:numFmt w:val="chineseCountingThousand"/>
      <w:lvlText w:val="%1、"/>
      <w:lvlJc w:val="left"/>
      <w:pPr>
        <w:ind w:left="0" w:hanging="425"/>
      </w:pPr>
      <w:rPr>
        <w:rFonts w:hint="default"/>
        <w:b w:val="0"/>
        <w:color w:val="000000"/>
        <w:w w:val="0"/>
      </w:rPr>
    </w:lvl>
    <w:lvl w:ilvl="1" w:tentative="0">
      <w:start w:val="1"/>
      <w:numFmt w:val="decimal"/>
      <w:lvlText w:val="%1.%2."/>
      <w:lvlJc w:val="left"/>
      <w:pPr>
        <w:ind w:left="567" w:hanging="567"/>
      </w:pPr>
      <w:rPr>
        <w:rFonts w:hint="default" w:ascii="Times New Roman" w:hAnsi="Times New Roman"/>
        <w:b w:val="0"/>
        <w:color w:val="000000"/>
        <w:w w:val="0"/>
      </w:rPr>
    </w:lvl>
    <w:lvl w:ilvl="2" w:tentative="0">
      <w:start w:val="1"/>
      <w:numFmt w:val="decimal"/>
      <w:lvlText w:val="%1.%2.%3."/>
      <w:lvlJc w:val="left"/>
      <w:pPr>
        <w:ind w:left="709" w:hanging="709"/>
      </w:pPr>
      <w:rPr>
        <w:rFonts w:hint="default" w:ascii="Times New Roman" w:hAnsi="Times New Roman"/>
        <w:b w:val="0"/>
        <w:w w:val="100"/>
      </w:rPr>
    </w:lvl>
    <w:lvl w:ilvl="3" w:tentative="0">
      <w:start w:val="1"/>
      <w:numFmt w:val="decimal"/>
      <w:lvlText w:val="%1.%2.%3.%4."/>
      <w:lvlJc w:val="left"/>
      <w:pPr>
        <w:ind w:left="851" w:hanging="851"/>
      </w:pPr>
      <w:rPr>
        <w:rFonts w:hint="default"/>
        <w:w w:val="100"/>
      </w:rPr>
    </w:lvl>
    <w:lvl w:ilvl="4" w:tentative="0">
      <w:start w:val="1"/>
      <w:numFmt w:val="decimal"/>
      <w:lvlText w:val="%1.%2.%3.%4.%5."/>
      <w:lvlJc w:val="left"/>
      <w:pPr>
        <w:ind w:left="992" w:hanging="992"/>
      </w:pPr>
      <w:rPr>
        <w:rFonts w:hint="default"/>
        <w:color w:val="000000"/>
        <w:w w:val="100"/>
      </w:rPr>
    </w:lvl>
    <w:lvl w:ilvl="5" w:tentative="0">
      <w:start w:val="1"/>
      <w:numFmt w:val="decimal"/>
      <w:lvlText w:val="%6)"/>
      <w:lvlJc w:val="left"/>
      <w:pPr>
        <w:ind w:left="1134" w:hanging="567"/>
      </w:pPr>
      <w:rPr>
        <w:rFonts w:hint="default"/>
        <w:b w:val="0"/>
        <w:w w:val="100"/>
      </w:rPr>
    </w:lvl>
    <w:lvl w:ilvl="6" w:tentative="0">
      <w:start w:val="1"/>
      <w:numFmt w:val="lowerLetter"/>
      <w:lvlText w:val="%7)"/>
      <w:lvlJc w:val="left"/>
      <w:pPr>
        <w:ind w:left="1701" w:hanging="567"/>
      </w:pPr>
      <w:rPr>
        <w:rFonts w:hint="default"/>
        <w:w w:val="100"/>
      </w:rPr>
    </w:lvl>
    <w:lvl w:ilvl="7" w:tentative="0">
      <w:start w:val="1"/>
      <w:numFmt w:val="lowerRoman"/>
      <w:lvlText w:val="%8)"/>
      <w:lvlJc w:val="left"/>
      <w:pPr>
        <w:ind w:left="2268" w:hanging="567"/>
      </w:pPr>
      <w:rPr>
        <w:rFonts w:hint="default"/>
        <w:w w:val="100"/>
      </w:rPr>
    </w:lvl>
    <w:lvl w:ilvl="8" w:tentative="0">
      <w:start w:val="1"/>
      <w:numFmt w:val="bullet"/>
      <w:lvlText w:val="¨"/>
      <w:lvlJc w:val="left"/>
      <w:pPr>
        <w:ind w:left="25515" w:hanging="567"/>
      </w:pPr>
      <w:rPr>
        <w:rFonts w:hint="default" w:ascii="Symbol" w:hAnsi="Symbol"/>
        <w:w w:val="100"/>
      </w:rPr>
    </w:lvl>
  </w:abstractNum>
  <w:abstractNum w:abstractNumId="44">
    <w:nsid w:val="72114ED4"/>
    <w:multiLevelType w:val="multilevel"/>
    <w:tmpl w:val="72114ED4"/>
    <w:lvl w:ilvl="0" w:tentative="0">
      <w:start w:val="1"/>
      <w:numFmt w:val="decimal"/>
      <w:pStyle w:val="77"/>
      <w:lvlText w:val="%1."/>
      <w:lvlJc w:val="left"/>
      <w:pPr>
        <w:tabs>
          <w:tab w:val="left" w:pos="425"/>
        </w:tabs>
        <w:ind w:left="425" w:hanging="425"/>
      </w:pPr>
      <w:rPr>
        <w:rFonts w:hint="default" w:ascii="Arial" w:hAnsi="Arial" w:eastAsia="黑体"/>
        <w:sz w:val="32"/>
      </w:rPr>
    </w:lvl>
    <w:lvl w:ilvl="1" w:tentative="0">
      <w:start w:val="1"/>
      <w:numFmt w:val="decimal"/>
      <w:pStyle w:val="51"/>
      <w:lvlText w:val="%1.%2"/>
      <w:lvlJc w:val="left"/>
      <w:pPr>
        <w:tabs>
          <w:tab w:val="left" w:pos="567"/>
        </w:tabs>
        <w:ind w:left="567" w:hanging="567"/>
      </w:pPr>
      <w:rPr>
        <w:rFonts w:hint="default" w:ascii="Arial" w:hAnsi="Arial" w:eastAsia="宋体"/>
        <w:sz w:val="21"/>
      </w:rPr>
    </w:lvl>
    <w:lvl w:ilvl="2" w:tentative="0">
      <w:start w:val="1"/>
      <w:numFmt w:val="decimal"/>
      <w:lvlText w:val="%1.%2.%3"/>
      <w:lvlJc w:val="left"/>
      <w:pPr>
        <w:tabs>
          <w:tab w:val="left" w:pos="709"/>
        </w:tabs>
        <w:ind w:left="709" w:hanging="709"/>
      </w:pPr>
      <w:rPr>
        <w:rFonts w:hint="default" w:ascii="Arial" w:hAnsi="Arial" w:eastAsia="宋体"/>
        <w:sz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Restart w:val="1"/>
      <w:suff w:val="space"/>
      <w:lvlText w:val="图%1.%7"/>
      <w:lvlJc w:val="left"/>
      <w:pPr>
        <w:ind w:left="1276" w:hanging="1276"/>
      </w:pPr>
      <w:rPr>
        <w:rFonts w:hint="eastAsia" w:hAnsi="Times New Roman" w:cs="Times New Roman"/>
        <w:b w:val="0"/>
        <w:bCs w:val="0"/>
        <w:i w:val="0"/>
        <w:iCs w:val="0"/>
        <w:caps w:val="0"/>
        <w:smallCaps w:val="0"/>
        <w:strike w:val="0"/>
        <w:dstrike w:val="0"/>
        <w:vanish w:val="0"/>
        <w:color w:val="000000"/>
        <w:spacing w:val="0"/>
        <w:kern w:val="0"/>
        <w:position w:val="0"/>
        <w:u w:val="none"/>
        <w:vertAlign w:val="baseline"/>
      </w:rPr>
    </w:lvl>
    <w:lvl w:ilvl="7" w:tentative="0">
      <w:start w:val="1"/>
      <w:numFmt w:val="decimal"/>
      <w:lvlRestart w:val="1"/>
      <w:suff w:val="space"/>
      <w:lvlText w:val="表%1-%8"/>
      <w:lvlJc w:val="left"/>
      <w:pPr>
        <w:ind w:left="1276" w:hanging="1276"/>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5">
    <w:nsid w:val="786925CA"/>
    <w:multiLevelType w:val="multilevel"/>
    <w:tmpl w:val="786925CA"/>
    <w:lvl w:ilvl="0" w:tentative="0">
      <w:start w:val="1"/>
      <w:numFmt w:val="chineseCountingThousand"/>
      <w:lvlText w:val="%1、"/>
      <w:lvlJc w:val="left"/>
      <w:pPr>
        <w:ind w:left="0" w:hanging="425"/>
      </w:pPr>
      <w:rPr>
        <w:rFonts w:hint="default"/>
        <w:b w:val="0"/>
        <w:color w:val="000000"/>
        <w:w w:val="0"/>
      </w:rPr>
    </w:lvl>
    <w:lvl w:ilvl="1" w:tentative="0">
      <w:start w:val="1"/>
      <w:numFmt w:val="decimal"/>
      <w:lvlText w:val="%1.%2."/>
      <w:lvlJc w:val="left"/>
      <w:pPr>
        <w:ind w:left="567" w:hanging="567"/>
      </w:pPr>
      <w:rPr>
        <w:rFonts w:hint="default" w:ascii="Times New Roman" w:hAnsi="Times New Roman"/>
        <w:b w:val="0"/>
        <w:color w:val="000000"/>
        <w:w w:val="0"/>
      </w:rPr>
    </w:lvl>
    <w:lvl w:ilvl="2" w:tentative="0">
      <w:start w:val="1"/>
      <w:numFmt w:val="decimal"/>
      <w:lvlText w:val="%1.%2.%3."/>
      <w:lvlJc w:val="left"/>
      <w:pPr>
        <w:ind w:left="709" w:hanging="709"/>
      </w:pPr>
      <w:rPr>
        <w:rFonts w:hint="default" w:ascii="Times New Roman" w:hAnsi="Times New Roman"/>
        <w:b w:val="0"/>
        <w:w w:val="100"/>
      </w:rPr>
    </w:lvl>
    <w:lvl w:ilvl="3" w:tentative="0">
      <w:start w:val="1"/>
      <w:numFmt w:val="decimal"/>
      <w:lvlText w:val="%1.%2.%3.%4."/>
      <w:lvlJc w:val="left"/>
      <w:pPr>
        <w:ind w:left="851" w:hanging="851"/>
      </w:pPr>
      <w:rPr>
        <w:rFonts w:hint="default"/>
        <w:w w:val="100"/>
      </w:rPr>
    </w:lvl>
    <w:lvl w:ilvl="4" w:tentative="0">
      <w:start w:val="1"/>
      <w:numFmt w:val="decimal"/>
      <w:lvlText w:val="%1.%2.%3.%4.%5."/>
      <w:lvlJc w:val="left"/>
      <w:pPr>
        <w:ind w:left="992" w:hanging="992"/>
      </w:pPr>
      <w:rPr>
        <w:rFonts w:hint="default"/>
        <w:color w:val="000000"/>
        <w:w w:val="100"/>
      </w:rPr>
    </w:lvl>
    <w:lvl w:ilvl="5" w:tentative="0">
      <w:start w:val="1"/>
      <w:numFmt w:val="decimal"/>
      <w:lvlText w:val="%6)"/>
      <w:lvlJc w:val="left"/>
      <w:pPr>
        <w:ind w:left="1134" w:hanging="567"/>
      </w:pPr>
      <w:rPr>
        <w:rFonts w:hint="default"/>
        <w:b w:val="0"/>
        <w:w w:val="100"/>
      </w:rPr>
    </w:lvl>
    <w:lvl w:ilvl="6" w:tentative="0">
      <w:start w:val="1"/>
      <w:numFmt w:val="lowerLetter"/>
      <w:lvlText w:val="%7)"/>
      <w:lvlJc w:val="left"/>
      <w:pPr>
        <w:ind w:left="1701" w:hanging="567"/>
      </w:pPr>
      <w:rPr>
        <w:rFonts w:hint="default"/>
        <w:w w:val="100"/>
      </w:rPr>
    </w:lvl>
    <w:lvl w:ilvl="7" w:tentative="0">
      <w:start w:val="1"/>
      <w:numFmt w:val="lowerRoman"/>
      <w:lvlText w:val="%8)"/>
      <w:lvlJc w:val="left"/>
      <w:pPr>
        <w:ind w:left="2268" w:hanging="567"/>
      </w:pPr>
      <w:rPr>
        <w:rFonts w:hint="default"/>
        <w:w w:val="100"/>
      </w:rPr>
    </w:lvl>
    <w:lvl w:ilvl="8" w:tentative="0">
      <w:start w:val="1"/>
      <w:numFmt w:val="bullet"/>
      <w:lvlText w:val="¨"/>
      <w:lvlJc w:val="left"/>
      <w:pPr>
        <w:ind w:left="25515" w:hanging="567"/>
      </w:pPr>
      <w:rPr>
        <w:rFonts w:hint="default" w:ascii="Symbol" w:hAnsi="Symbol"/>
        <w:w w:val="100"/>
      </w:rPr>
    </w:lvl>
  </w:abstractNum>
  <w:abstractNum w:abstractNumId="46">
    <w:nsid w:val="7F0A07CB"/>
    <w:multiLevelType w:val="multilevel"/>
    <w:tmpl w:val="7F0A07CB"/>
    <w:lvl w:ilvl="0" w:tentative="0">
      <w:start w:val="1"/>
      <w:numFmt w:val="decimal"/>
      <w:lvlText w:val="%1."/>
      <w:lvlJc w:val="left"/>
      <w:pPr>
        <w:ind w:left="420" w:hanging="420"/>
      </w:pPr>
      <w:rPr>
        <w:rFonts w:hint="default"/>
        <w:w w:val="100"/>
      </w:rPr>
    </w:lvl>
    <w:lvl w:ilvl="1" w:tentative="0">
      <w:start w:val="1"/>
      <w:numFmt w:val="lowerLetter"/>
      <w:lvlText w:val="%2)"/>
      <w:lvlJc w:val="left"/>
      <w:pPr>
        <w:ind w:left="1260" w:hanging="420"/>
      </w:pPr>
      <w:rPr>
        <w:rFonts w:hint="default"/>
        <w:w w:val="100"/>
      </w:rPr>
    </w:lvl>
    <w:lvl w:ilvl="2" w:tentative="0">
      <w:start w:val="1"/>
      <w:numFmt w:val="lowerRoman"/>
      <w:lvlText w:val="%3."/>
      <w:lvlJc w:val="right"/>
      <w:pPr>
        <w:ind w:left="1680" w:hanging="420"/>
      </w:pPr>
      <w:rPr>
        <w:rFonts w:hint="default"/>
        <w:w w:val="100"/>
      </w:rPr>
    </w:lvl>
    <w:lvl w:ilvl="3" w:tentative="0">
      <w:start w:val="1"/>
      <w:numFmt w:val="decimal"/>
      <w:lvlText w:val="%4."/>
      <w:lvlJc w:val="left"/>
      <w:pPr>
        <w:ind w:left="2100" w:hanging="420"/>
      </w:pPr>
      <w:rPr>
        <w:rFonts w:hint="default"/>
        <w:w w:val="100"/>
      </w:rPr>
    </w:lvl>
    <w:lvl w:ilvl="4" w:tentative="0">
      <w:start w:val="1"/>
      <w:numFmt w:val="lowerLetter"/>
      <w:lvlText w:val="%5)"/>
      <w:lvlJc w:val="left"/>
      <w:pPr>
        <w:ind w:left="2520" w:hanging="420"/>
      </w:pPr>
      <w:rPr>
        <w:rFonts w:hint="default"/>
        <w:w w:val="100"/>
      </w:rPr>
    </w:lvl>
    <w:lvl w:ilvl="5" w:tentative="0">
      <w:start w:val="1"/>
      <w:numFmt w:val="lowerRoman"/>
      <w:lvlText w:val="%6."/>
      <w:lvlJc w:val="right"/>
      <w:pPr>
        <w:ind w:left="2940" w:hanging="420"/>
      </w:pPr>
      <w:rPr>
        <w:rFonts w:hint="default"/>
        <w:w w:val="100"/>
      </w:rPr>
    </w:lvl>
    <w:lvl w:ilvl="6" w:tentative="0">
      <w:start w:val="1"/>
      <w:numFmt w:val="decimal"/>
      <w:lvlText w:val="%7."/>
      <w:lvlJc w:val="left"/>
      <w:pPr>
        <w:ind w:left="3360" w:hanging="420"/>
      </w:pPr>
      <w:rPr>
        <w:rFonts w:hint="default"/>
        <w:w w:val="100"/>
      </w:rPr>
    </w:lvl>
    <w:lvl w:ilvl="7" w:tentative="0">
      <w:start w:val="1"/>
      <w:numFmt w:val="lowerLetter"/>
      <w:lvlText w:val="%8)"/>
      <w:lvlJc w:val="left"/>
      <w:pPr>
        <w:ind w:left="3780" w:hanging="420"/>
      </w:pPr>
      <w:rPr>
        <w:rFonts w:hint="default"/>
        <w:w w:val="100"/>
      </w:rPr>
    </w:lvl>
    <w:lvl w:ilvl="8" w:tentative="0">
      <w:start w:val="1"/>
      <w:numFmt w:val="lowerRoman"/>
      <w:lvlText w:val="%9."/>
      <w:lvlJc w:val="right"/>
      <w:pPr>
        <w:ind w:left="4200" w:hanging="420"/>
      </w:pPr>
      <w:rPr>
        <w:rFonts w:hint="default"/>
        <w:w w:val="100"/>
      </w:rPr>
    </w:lvl>
  </w:abstractNum>
  <w:num w:numId="1">
    <w:abstractNumId w:val="15"/>
  </w:num>
  <w:num w:numId="2">
    <w:abstractNumId w:val="44"/>
  </w:num>
  <w:num w:numId="3">
    <w:abstractNumId w:val="19"/>
  </w:num>
  <w:num w:numId="4">
    <w:abstractNumId w:val="27"/>
  </w:num>
  <w:num w:numId="5">
    <w:abstractNumId w:val="33"/>
  </w:num>
  <w:num w:numId="6">
    <w:abstractNumId w:val="22"/>
  </w:num>
  <w:num w:numId="7">
    <w:abstractNumId w:val="36"/>
  </w:num>
  <w:num w:numId="8">
    <w:abstractNumId w:val="24"/>
  </w:num>
  <w:num w:numId="9">
    <w:abstractNumId w:val="17"/>
  </w:num>
  <w:num w:numId="10">
    <w:abstractNumId w:val="32"/>
  </w:num>
  <w:num w:numId="11">
    <w:abstractNumId w:val="43"/>
  </w:num>
  <w:num w:numId="12">
    <w:abstractNumId w:val="37"/>
  </w:num>
  <w:num w:numId="13">
    <w:abstractNumId w:val="31"/>
  </w:num>
  <w:num w:numId="14">
    <w:abstractNumId w:val="35"/>
  </w:num>
  <w:num w:numId="15">
    <w:abstractNumId w:val="0"/>
  </w:num>
  <w:num w:numId="16">
    <w:abstractNumId w:val="45"/>
  </w:num>
  <w:num w:numId="17">
    <w:abstractNumId w:val="21"/>
  </w:num>
  <w:num w:numId="18">
    <w:abstractNumId w:val="26"/>
  </w:num>
  <w:num w:numId="19">
    <w:abstractNumId w:val="38"/>
  </w:num>
  <w:num w:numId="20">
    <w:abstractNumId w:val="39"/>
  </w:num>
  <w:num w:numId="21">
    <w:abstractNumId w:val="29"/>
  </w:num>
  <w:num w:numId="22">
    <w:abstractNumId w:val="46"/>
  </w:num>
  <w:num w:numId="23">
    <w:abstractNumId w:val="23"/>
  </w:num>
  <w:num w:numId="24">
    <w:abstractNumId w:val="20"/>
  </w:num>
  <w:num w:numId="25">
    <w:abstractNumId w:val="25"/>
  </w:num>
  <w:num w:numId="26">
    <w:abstractNumId w:val="40"/>
  </w:num>
  <w:num w:numId="27">
    <w:abstractNumId w:val="41"/>
  </w:num>
  <w:num w:numId="28">
    <w:abstractNumId w:val="42"/>
  </w:num>
  <w:num w:numId="29">
    <w:abstractNumId w:val="28"/>
  </w:num>
  <w:num w:numId="30">
    <w:abstractNumId w:val="34"/>
  </w:num>
  <w:num w:numId="31">
    <w:abstractNumId w:val="30"/>
  </w:num>
  <w:num w:numId="32">
    <w:abstractNumId w:val="1"/>
  </w:num>
  <w:num w:numId="33">
    <w:abstractNumId w:val="12"/>
  </w:num>
  <w:num w:numId="34">
    <w:abstractNumId w:val="13"/>
  </w:num>
  <w:num w:numId="35">
    <w:abstractNumId w:val="14"/>
  </w:num>
  <w:num w:numId="36">
    <w:abstractNumId w:val="16"/>
  </w:num>
  <w:num w:numId="37">
    <w:abstractNumId w:val="11"/>
  </w:num>
  <w:num w:numId="38">
    <w:abstractNumId w:val="10"/>
  </w:num>
  <w:num w:numId="39">
    <w:abstractNumId w:val="2"/>
  </w:num>
  <w:num w:numId="40">
    <w:abstractNumId w:val="3"/>
  </w:num>
  <w:num w:numId="41">
    <w:abstractNumId w:val="5"/>
  </w:num>
  <w:num w:numId="42">
    <w:abstractNumId w:val="9"/>
  </w:num>
  <w:num w:numId="43">
    <w:abstractNumId w:val="8"/>
  </w:num>
  <w:num w:numId="44">
    <w:abstractNumId w:val="7"/>
  </w:num>
  <w:num w:numId="45">
    <w:abstractNumId w:val="6"/>
  </w:num>
  <w:num w:numId="46">
    <w:abstractNumId w:val="4"/>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10D"/>
    <w:rsid w:val="000107EE"/>
    <w:rsid w:val="000115F2"/>
    <w:rsid w:val="0003127D"/>
    <w:rsid w:val="00031E39"/>
    <w:rsid w:val="00031EA6"/>
    <w:rsid w:val="00042331"/>
    <w:rsid w:val="0004249B"/>
    <w:rsid w:val="00046C50"/>
    <w:rsid w:val="0005575F"/>
    <w:rsid w:val="00060038"/>
    <w:rsid w:val="000831FC"/>
    <w:rsid w:val="000A51B9"/>
    <w:rsid w:val="000A59A8"/>
    <w:rsid w:val="000A7DAB"/>
    <w:rsid w:val="000B02C7"/>
    <w:rsid w:val="000B0BEB"/>
    <w:rsid w:val="000B12E4"/>
    <w:rsid w:val="000E7BE4"/>
    <w:rsid w:val="000F7D40"/>
    <w:rsid w:val="00105ABC"/>
    <w:rsid w:val="001226A9"/>
    <w:rsid w:val="001360EA"/>
    <w:rsid w:val="0013772B"/>
    <w:rsid w:val="00172A27"/>
    <w:rsid w:val="00173F3F"/>
    <w:rsid w:val="00181842"/>
    <w:rsid w:val="0018440F"/>
    <w:rsid w:val="001972DE"/>
    <w:rsid w:val="001A688E"/>
    <w:rsid w:val="001B1C52"/>
    <w:rsid w:val="001B6484"/>
    <w:rsid w:val="001C6826"/>
    <w:rsid w:val="001D7854"/>
    <w:rsid w:val="001E1C4C"/>
    <w:rsid w:val="001E52A3"/>
    <w:rsid w:val="001F3EA5"/>
    <w:rsid w:val="00207088"/>
    <w:rsid w:val="00213081"/>
    <w:rsid w:val="0021712B"/>
    <w:rsid w:val="00222ED7"/>
    <w:rsid w:val="00225740"/>
    <w:rsid w:val="00226BBF"/>
    <w:rsid w:val="002402EB"/>
    <w:rsid w:val="00241A65"/>
    <w:rsid w:val="0024436E"/>
    <w:rsid w:val="002516CE"/>
    <w:rsid w:val="00270781"/>
    <w:rsid w:val="0028454F"/>
    <w:rsid w:val="002860D2"/>
    <w:rsid w:val="002864C7"/>
    <w:rsid w:val="00287EE5"/>
    <w:rsid w:val="002907EB"/>
    <w:rsid w:val="00292677"/>
    <w:rsid w:val="002A4B90"/>
    <w:rsid w:val="002A645A"/>
    <w:rsid w:val="002B29F6"/>
    <w:rsid w:val="002C3DC8"/>
    <w:rsid w:val="002D12FD"/>
    <w:rsid w:val="002F053D"/>
    <w:rsid w:val="002F10B6"/>
    <w:rsid w:val="002F7B2A"/>
    <w:rsid w:val="00300FA0"/>
    <w:rsid w:val="003028BC"/>
    <w:rsid w:val="003057E5"/>
    <w:rsid w:val="00305CDA"/>
    <w:rsid w:val="00310D01"/>
    <w:rsid w:val="00323CB9"/>
    <w:rsid w:val="00336ED3"/>
    <w:rsid w:val="00347B39"/>
    <w:rsid w:val="00352DC9"/>
    <w:rsid w:val="003578DC"/>
    <w:rsid w:val="00365850"/>
    <w:rsid w:val="00367C30"/>
    <w:rsid w:val="00374F4E"/>
    <w:rsid w:val="00375151"/>
    <w:rsid w:val="003857C8"/>
    <w:rsid w:val="003B3A61"/>
    <w:rsid w:val="003F10DC"/>
    <w:rsid w:val="003F5485"/>
    <w:rsid w:val="003F5F97"/>
    <w:rsid w:val="00406D71"/>
    <w:rsid w:val="004163BF"/>
    <w:rsid w:val="004208F0"/>
    <w:rsid w:val="00425640"/>
    <w:rsid w:val="00425B54"/>
    <w:rsid w:val="004320E2"/>
    <w:rsid w:val="004421B8"/>
    <w:rsid w:val="004660F4"/>
    <w:rsid w:val="004725C3"/>
    <w:rsid w:val="0048145F"/>
    <w:rsid w:val="00483F19"/>
    <w:rsid w:val="00486BF4"/>
    <w:rsid w:val="00490C42"/>
    <w:rsid w:val="00492625"/>
    <w:rsid w:val="00493A83"/>
    <w:rsid w:val="00494406"/>
    <w:rsid w:val="00494B84"/>
    <w:rsid w:val="004D2CB9"/>
    <w:rsid w:val="004E723B"/>
    <w:rsid w:val="005017DD"/>
    <w:rsid w:val="00501894"/>
    <w:rsid w:val="005043F0"/>
    <w:rsid w:val="005150A6"/>
    <w:rsid w:val="0051554F"/>
    <w:rsid w:val="00517E90"/>
    <w:rsid w:val="00523EFA"/>
    <w:rsid w:val="00527737"/>
    <w:rsid w:val="00531A3E"/>
    <w:rsid w:val="00541EAF"/>
    <w:rsid w:val="00546CA4"/>
    <w:rsid w:val="005472F0"/>
    <w:rsid w:val="00555599"/>
    <w:rsid w:val="005577E9"/>
    <w:rsid w:val="0056162B"/>
    <w:rsid w:val="00562FF5"/>
    <w:rsid w:val="005634E9"/>
    <w:rsid w:val="005906C3"/>
    <w:rsid w:val="005A044D"/>
    <w:rsid w:val="005A1D95"/>
    <w:rsid w:val="005A680C"/>
    <w:rsid w:val="005A7619"/>
    <w:rsid w:val="005B4445"/>
    <w:rsid w:val="005C22C4"/>
    <w:rsid w:val="005C3768"/>
    <w:rsid w:val="005C75FC"/>
    <w:rsid w:val="005F4E2D"/>
    <w:rsid w:val="00605911"/>
    <w:rsid w:val="00616598"/>
    <w:rsid w:val="00622FC0"/>
    <w:rsid w:val="006266A4"/>
    <w:rsid w:val="00630916"/>
    <w:rsid w:val="00637EE9"/>
    <w:rsid w:val="006420CD"/>
    <w:rsid w:val="0064520D"/>
    <w:rsid w:val="0064564C"/>
    <w:rsid w:val="00652E73"/>
    <w:rsid w:val="00653966"/>
    <w:rsid w:val="00657A31"/>
    <w:rsid w:val="0066522C"/>
    <w:rsid w:val="00672090"/>
    <w:rsid w:val="00681083"/>
    <w:rsid w:val="00682C63"/>
    <w:rsid w:val="00687657"/>
    <w:rsid w:val="0069011D"/>
    <w:rsid w:val="006A077A"/>
    <w:rsid w:val="006A2793"/>
    <w:rsid w:val="006A6DA3"/>
    <w:rsid w:val="006B5FE9"/>
    <w:rsid w:val="006B6763"/>
    <w:rsid w:val="006C5439"/>
    <w:rsid w:val="006D16A0"/>
    <w:rsid w:val="006F0CBC"/>
    <w:rsid w:val="006F1173"/>
    <w:rsid w:val="007125FB"/>
    <w:rsid w:val="007146B2"/>
    <w:rsid w:val="00725FC2"/>
    <w:rsid w:val="00730E61"/>
    <w:rsid w:val="007454D5"/>
    <w:rsid w:val="0074763E"/>
    <w:rsid w:val="00765096"/>
    <w:rsid w:val="007677D0"/>
    <w:rsid w:val="007708C1"/>
    <w:rsid w:val="007731D4"/>
    <w:rsid w:val="007811F7"/>
    <w:rsid w:val="007956F9"/>
    <w:rsid w:val="007A22EA"/>
    <w:rsid w:val="007A5580"/>
    <w:rsid w:val="007B4D7F"/>
    <w:rsid w:val="007B7AC8"/>
    <w:rsid w:val="007E3B9F"/>
    <w:rsid w:val="007F1567"/>
    <w:rsid w:val="00802B95"/>
    <w:rsid w:val="0080472F"/>
    <w:rsid w:val="008137E1"/>
    <w:rsid w:val="00816016"/>
    <w:rsid w:val="00823090"/>
    <w:rsid w:val="00827362"/>
    <w:rsid w:val="00827ECE"/>
    <w:rsid w:val="00841AFE"/>
    <w:rsid w:val="00844701"/>
    <w:rsid w:val="008514FE"/>
    <w:rsid w:val="00851D9D"/>
    <w:rsid w:val="00854D78"/>
    <w:rsid w:val="00857C88"/>
    <w:rsid w:val="00876E72"/>
    <w:rsid w:val="00877D4E"/>
    <w:rsid w:val="00887A5E"/>
    <w:rsid w:val="008A1F72"/>
    <w:rsid w:val="008A579B"/>
    <w:rsid w:val="008B0278"/>
    <w:rsid w:val="008B20A0"/>
    <w:rsid w:val="008B72F5"/>
    <w:rsid w:val="008B7DDA"/>
    <w:rsid w:val="008C3CFA"/>
    <w:rsid w:val="008D412A"/>
    <w:rsid w:val="008E37B7"/>
    <w:rsid w:val="008E68BF"/>
    <w:rsid w:val="0090602D"/>
    <w:rsid w:val="0092261C"/>
    <w:rsid w:val="00933675"/>
    <w:rsid w:val="0094041D"/>
    <w:rsid w:val="009410D1"/>
    <w:rsid w:val="009421B6"/>
    <w:rsid w:val="00947FDB"/>
    <w:rsid w:val="00956089"/>
    <w:rsid w:val="0096765B"/>
    <w:rsid w:val="00973BC8"/>
    <w:rsid w:val="00976B4B"/>
    <w:rsid w:val="009831A3"/>
    <w:rsid w:val="00993670"/>
    <w:rsid w:val="009A2F28"/>
    <w:rsid w:val="009A7066"/>
    <w:rsid w:val="009B038D"/>
    <w:rsid w:val="009B2911"/>
    <w:rsid w:val="009B3FAF"/>
    <w:rsid w:val="009C20C7"/>
    <w:rsid w:val="009C671A"/>
    <w:rsid w:val="009D6B98"/>
    <w:rsid w:val="009E5D97"/>
    <w:rsid w:val="009F250C"/>
    <w:rsid w:val="00A1670D"/>
    <w:rsid w:val="00A262B1"/>
    <w:rsid w:val="00A450CD"/>
    <w:rsid w:val="00A64B01"/>
    <w:rsid w:val="00A65BCA"/>
    <w:rsid w:val="00A73BF1"/>
    <w:rsid w:val="00A75260"/>
    <w:rsid w:val="00A75E4E"/>
    <w:rsid w:val="00A86233"/>
    <w:rsid w:val="00AB26E1"/>
    <w:rsid w:val="00AB42B1"/>
    <w:rsid w:val="00AB547E"/>
    <w:rsid w:val="00AB62E8"/>
    <w:rsid w:val="00AC745A"/>
    <w:rsid w:val="00AC75FF"/>
    <w:rsid w:val="00AD2907"/>
    <w:rsid w:val="00AD5A3F"/>
    <w:rsid w:val="00AD73C6"/>
    <w:rsid w:val="00AE78A2"/>
    <w:rsid w:val="00AF5CAD"/>
    <w:rsid w:val="00B060D3"/>
    <w:rsid w:val="00B22C48"/>
    <w:rsid w:val="00B5341A"/>
    <w:rsid w:val="00B67765"/>
    <w:rsid w:val="00B71F0A"/>
    <w:rsid w:val="00BA175E"/>
    <w:rsid w:val="00BB70E0"/>
    <w:rsid w:val="00BD4597"/>
    <w:rsid w:val="00BD4EEB"/>
    <w:rsid w:val="00BD5ED5"/>
    <w:rsid w:val="00BD6E15"/>
    <w:rsid w:val="00BE21BF"/>
    <w:rsid w:val="00BE63EE"/>
    <w:rsid w:val="00BE7B5E"/>
    <w:rsid w:val="00BF0DCD"/>
    <w:rsid w:val="00BF3C96"/>
    <w:rsid w:val="00BF75E3"/>
    <w:rsid w:val="00C00F17"/>
    <w:rsid w:val="00C24F02"/>
    <w:rsid w:val="00C3232B"/>
    <w:rsid w:val="00C34AD3"/>
    <w:rsid w:val="00C36B02"/>
    <w:rsid w:val="00C42E8C"/>
    <w:rsid w:val="00C449F3"/>
    <w:rsid w:val="00C613EF"/>
    <w:rsid w:val="00C73B62"/>
    <w:rsid w:val="00C75ACF"/>
    <w:rsid w:val="00CA036E"/>
    <w:rsid w:val="00CA29CC"/>
    <w:rsid w:val="00CA3D24"/>
    <w:rsid w:val="00CA45F6"/>
    <w:rsid w:val="00CB5304"/>
    <w:rsid w:val="00CC2945"/>
    <w:rsid w:val="00CC76C3"/>
    <w:rsid w:val="00CD3EEA"/>
    <w:rsid w:val="00CD75B7"/>
    <w:rsid w:val="00CE0762"/>
    <w:rsid w:val="00CF0363"/>
    <w:rsid w:val="00D0038E"/>
    <w:rsid w:val="00D10804"/>
    <w:rsid w:val="00D11C66"/>
    <w:rsid w:val="00D120BD"/>
    <w:rsid w:val="00D1753B"/>
    <w:rsid w:val="00D4452F"/>
    <w:rsid w:val="00D47EC7"/>
    <w:rsid w:val="00D61A8B"/>
    <w:rsid w:val="00D65889"/>
    <w:rsid w:val="00D67CDD"/>
    <w:rsid w:val="00D95C16"/>
    <w:rsid w:val="00D96670"/>
    <w:rsid w:val="00DA2157"/>
    <w:rsid w:val="00DA3F8B"/>
    <w:rsid w:val="00DC14DB"/>
    <w:rsid w:val="00DC456B"/>
    <w:rsid w:val="00DC51E4"/>
    <w:rsid w:val="00DC6C67"/>
    <w:rsid w:val="00DC7120"/>
    <w:rsid w:val="00DC7C8B"/>
    <w:rsid w:val="00DD65E3"/>
    <w:rsid w:val="00DF2905"/>
    <w:rsid w:val="00E00AC7"/>
    <w:rsid w:val="00E02662"/>
    <w:rsid w:val="00E21DDC"/>
    <w:rsid w:val="00E2624F"/>
    <w:rsid w:val="00E60C9C"/>
    <w:rsid w:val="00E72C56"/>
    <w:rsid w:val="00E72CAE"/>
    <w:rsid w:val="00E911B6"/>
    <w:rsid w:val="00E91F40"/>
    <w:rsid w:val="00EA730D"/>
    <w:rsid w:val="00EA7ED1"/>
    <w:rsid w:val="00EB00DD"/>
    <w:rsid w:val="00EB6549"/>
    <w:rsid w:val="00EC110A"/>
    <w:rsid w:val="00EC2924"/>
    <w:rsid w:val="00EC397C"/>
    <w:rsid w:val="00ED188C"/>
    <w:rsid w:val="00ED2717"/>
    <w:rsid w:val="00ED6723"/>
    <w:rsid w:val="00EF2C73"/>
    <w:rsid w:val="00F13EAB"/>
    <w:rsid w:val="00F34BAC"/>
    <w:rsid w:val="00F36B41"/>
    <w:rsid w:val="00F41A82"/>
    <w:rsid w:val="00F53AB9"/>
    <w:rsid w:val="00F547CF"/>
    <w:rsid w:val="00F54925"/>
    <w:rsid w:val="00F64890"/>
    <w:rsid w:val="00F70F70"/>
    <w:rsid w:val="00F82AA6"/>
    <w:rsid w:val="00FA1DB4"/>
    <w:rsid w:val="00FA210C"/>
    <w:rsid w:val="00FA67F1"/>
    <w:rsid w:val="00FB4638"/>
    <w:rsid w:val="00FB5664"/>
    <w:rsid w:val="00FC60E1"/>
    <w:rsid w:val="00FE429F"/>
    <w:rsid w:val="00FE5B20"/>
    <w:rsid w:val="00FF37B7"/>
    <w:rsid w:val="00FF532F"/>
    <w:rsid w:val="02782198"/>
    <w:rsid w:val="02E76239"/>
    <w:rsid w:val="02F55DF9"/>
    <w:rsid w:val="03DB4DAD"/>
    <w:rsid w:val="07050E6A"/>
    <w:rsid w:val="0B087AF3"/>
    <w:rsid w:val="0BBD009C"/>
    <w:rsid w:val="0BC80CD7"/>
    <w:rsid w:val="0C197936"/>
    <w:rsid w:val="0D4115FF"/>
    <w:rsid w:val="0F11420F"/>
    <w:rsid w:val="11C80195"/>
    <w:rsid w:val="127B7D4B"/>
    <w:rsid w:val="127D3CFB"/>
    <w:rsid w:val="1529671F"/>
    <w:rsid w:val="190374DB"/>
    <w:rsid w:val="19BF39A9"/>
    <w:rsid w:val="1AD5108E"/>
    <w:rsid w:val="1C4306F9"/>
    <w:rsid w:val="1DAC09DE"/>
    <w:rsid w:val="1F046461"/>
    <w:rsid w:val="20031FD2"/>
    <w:rsid w:val="22CB303D"/>
    <w:rsid w:val="23A02C16"/>
    <w:rsid w:val="247D22E5"/>
    <w:rsid w:val="25C357AE"/>
    <w:rsid w:val="28F67F12"/>
    <w:rsid w:val="28F718A7"/>
    <w:rsid w:val="2C787BBD"/>
    <w:rsid w:val="2CD23349"/>
    <w:rsid w:val="2CF62F8C"/>
    <w:rsid w:val="2D222848"/>
    <w:rsid w:val="2D512B8A"/>
    <w:rsid w:val="2DA83B2B"/>
    <w:rsid w:val="2E4A20E4"/>
    <w:rsid w:val="301F3BE7"/>
    <w:rsid w:val="323D5DB4"/>
    <w:rsid w:val="32685C75"/>
    <w:rsid w:val="36B7040D"/>
    <w:rsid w:val="37F6234E"/>
    <w:rsid w:val="3B9B3633"/>
    <w:rsid w:val="3CB274A4"/>
    <w:rsid w:val="3CBA1734"/>
    <w:rsid w:val="3DFB6BB2"/>
    <w:rsid w:val="3E4C0F83"/>
    <w:rsid w:val="42341F8A"/>
    <w:rsid w:val="432A346E"/>
    <w:rsid w:val="44F72058"/>
    <w:rsid w:val="4512250A"/>
    <w:rsid w:val="45BB10A6"/>
    <w:rsid w:val="47067059"/>
    <w:rsid w:val="48806894"/>
    <w:rsid w:val="494D526C"/>
    <w:rsid w:val="4A04498B"/>
    <w:rsid w:val="4ABC4B1B"/>
    <w:rsid w:val="4D0A6995"/>
    <w:rsid w:val="4E704E8D"/>
    <w:rsid w:val="4FF77B20"/>
    <w:rsid w:val="509C23A4"/>
    <w:rsid w:val="51E715E1"/>
    <w:rsid w:val="561F0E5A"/>
    <w:rsid w:val="56975CA1"/>
    <w:rsid w:val="57D379DD"/>
    <w:rsid w:val="58D735FD"/>
    <w:rsid w:val="596E0B82"/>
    <w:rsid w:val="60067714"/>
    <w:rsid w:val="601B17E1"/>
    <w:rsid w:val="60CC2342"/>
    <w:rsid w:val="612B103C"/>
    <w:rsid w:val="62085163"/>
    <w:rsid w:val="644731EB"/>
    <w:rsid w:val="64D00AC4"/>
    <w:rsid w:val="65064C62"/>
    <w:rsid w:val="66AF4CCC"/>
    <w:rsid w:val="670C640B"/>
    <w:rsid w:val="67C60CF2"/>
    <w:rsid w:val="67F624CF"/>
    <w:rsid w:val="68110B8B"/>
    <w:rsid w:val="68B449D6"/>
    <w:rsid w:val="69412266"/>
    <w:rsid w:val="695F336F"/>
    <w:rsid w:val="6A3A6A0D"/>
    <w:rsid w:val="6A6A3EAB"/>
    <w:rsid w:val="6AB8089D"/>
    <w:rsid w:val="6B651175"/>
    <w:rsid w:val="6B8756E2"/>
    <w:rsid w:val="6BFE6469"/>
    <w:rsid w:val="6CA01277"/>
    <w:rsid w:val="6CA604EF"/>
    <w:rsid w:val="6DCD3809"/>
    <w:rsid w:val="6FA84CC5"/>
    <w:rsid w:val="708B0444"/>
    <w:rsid w:val="72543CA1"/>
    <w:rsid w:val="72691C95"/>
    <w:rsid w:val="74291110"/>
    <w:rsid w:val="753E6189"/>
    <w:rsid w:val="754B2C65"/>
    <w:rsid w:val="75673067"/>
    <w:rsid w:val="7B3E2434"/>
    <w:rsid w:val="7B460FB2"/>
    <w:rsid w:val="7F6B7DB8"/>
    <w:rsid w:val="7FBD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08"/>
    <w:qFormat/>
    <w:uiPriority w:val="0"/>
    <w:pPr>
      <w:keepNext/>
      <w:outlineLvl w:val="0"/>
    </w:pPr>
    <w:rPr>
      <w:rFonts w:ascii="仿宋_GB2312" w:eastAsia="仿宋_GB2312"/>
      <w:sz w:val="28"/>
    </w:rPr>
  </w:style>
  <w:style w:type="paragraph" w:styleId="3">
    <w:name w:val="heading 2"/>
    <w:basedOn w:val="1"/>
    <w:next w:val="1"/>
    <w:link w:val="109"/>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123"/>
    <w:qFormat/>
    <w:uiPriority w:val="0"/>
    <w:pPr>
      <w:keepNext/>
      <w:keepLines/>
      <w:spacing w:before="260" w:after="260" w:line="413" w:lineRule="auto"/>
      <w:jc w:val="center"/>
      <w:outlineLvl w:val="2"/>
    </w:pPr>
    <w:rPr>
      <w:b/>
      <w:sz w:val="32"/>
    </w:rPr>
  </w:style>
  <w:style w:type="paragraph" w:styleId="5">
    <w:name w:val="heading 4"/>
    <w:basedOn w:val="1"/>
    <w:next w:val="1"/>
    <w:link w:val="117"/>
    <w:qFormat/>
    <w:uiPriority w:val="0"/>
    <w:pPr>
      <w:keepNext/>
      <w:keepLines/>
      <w:spacing w:before="280" w:after="290" w:line="376" w:lineRule="auto"/>
      <w:outlineLvl w:val="3"/>
    </w:pPr>
    <w:rPr>
      <w:rFonts w:ascii="Calibri Light" w:hAnsi="Calibri Light"/>
      <w:b/>
      <w:bCs/>
      <w:sz w:val="28"/>
      <w:szCs w:val="28"/>
    </w:rPr>
  </w:style>
  <w:style w:type="paragraph" w:styleId="6">
    <w:name w:val="heading 5"/>
    <w:next w:val="7"/>
    <w:link w:val="118"/>
    <w:qFormat/>
    <w:uiPriority w:val="0"/>
    <w:pPr>
      <w:keepNext/>
      <w:keepLines/>
      <w:tabs>
        <w:tab w:val="left" w:pos="2127"/>
      </w:tabs>
      <w:spacing w:before="80" w:after="80" w:line="440" w:lineRule="exact"/>
      <w:ind w:left="2127" w:hanging="1531"/>
      <w:outlineLvl w:val="4"/>
    </w:pPr>
    <w:rPr>
      <w:rFonts w:ascii="Arial" w:hAnsi="Arial" w:eastAsia="宋体" w:cs="Times New Roman"/>
      <w:sz w:val="24"/>
      <w:szCs w:val="24"/>
      <w:lang w:val="en-US" w:eastAsia="zh-CN" w:bidi="ar-SA"/>
    </w:rPr>
  </w:style>
  <w:style w:type="paragraph" w:styleId="8">
    <w:name w:val="heading 6"/>
    <w:basedOn w:val="1"/>
    <w:next w:val="1"/>
    <w:link w:val="119"/>
    <w:qFormat/>
    <w:uiPriority w:val="0"/>
    <w:pPr>
      <w:keepNext/>
      <w:keepLines/>
      <w:spacing w:before="240" w:after="64" w:line="320" w:lineRule="auto"/>
      <w:outlineLvl w:val="5"/>
    </w:pPr>
    <w:rPr>
      <w:rFonts w:ascii="Calibri Light" w:hAnsi="Calibri Light"/>
      <w:b/>
      <w:bCs/>
      <w:sz w:val="24"/>
      <w:szCs w:val="24"/>
    </w:rPr>
  </w:style>
  <w:style w:type="paragraph" w:styleId="9">
    <w:name w:val="heading 7"/>
    <w:next w:val="7"/>
    <w:link w:val="120"/>
    <w:qFormat/>
    <w:uiPriority w:val="0"/>
    <w:pPr>
      <w:tabs>
        <w:tab w:val="left" w:pos="2014"/>
      </w:tabs>
      <w:adjustRightInd w:val="0"/>
      <w:snapToGrid w:val="0"/>
      <w:spacing w:line="440" w:lineRule="exact"/>
      <w:ind w:left="2014" w:hanging="454"/>
      <w:outlineLvl w:val="6"/>
    </w:pPr>
    <w:rPr>
      <w:rFonts w:ascii="Arial" w:hAnsi="Arial" w:eastAsia="宋体" w:cs="Times New Roman"/>
      <w:sz w:val="24"/>
      <w:szCs w:val="24"/>
      <w:lang w:val="en-US" w:eastAsia="zh-CN" w:bidi="ar-SA"/>
    </w:rPr>
  </w:style>
  <w:style w:type="paragraph" w:styleId="10">
    <w:name w:val="heading 8"/>
    <w:basedOn w:val="9"/>
    <w:next w:val="7"/>
    <w:link w:val="121"/>
    <w:qFormat/>
    <w:uiPriority w:val="0"/>
    <w:pPr>
      <w:tabs>
        <w:tab w:val="left" w:pos="2807"/>
        <w:tab w:val="clear" w:pos="2014"/>
      </w:tabs>
      <w:ind w:left="2807" w:hanging="510"/>
      <w:outlineLvl w:val="7"/>
    </w:pPr>
  </w:style>
  <w:style w:type="paragraph" w:styleId="11">
    <w:name w:val="heading 9"/>
    <w:next w:val="1"/>
    <w:link w:val="122"/>
    <w:qFormat/>
    <w:uiPriority w:val="0"/>
    <w:pPr>
      <w:keepNext/>
      <w:keepLines/>
      <w:tabs>
        <w:tab w:val="left" w:pos="0"/>
      </w:tabs>
      <w:spacing w:before="240" w:after="64" w:line="320" w:lineRule="atLeast"/>
      <w:ind w:left="3825" w:hanging="425"/>
      <w:outlineLvl w:val="8"/>
    </w:pPr>
    <w:rPr>
      <w:rFonts w:ascii="Arial" w:hAnsi="Arial" w:eastAsia="黑体" w:cs="Times New Roman"/>
      <w:sz w:val="21"/>
      <w:lang w:val="en-US" w:eastAsia="zh-CN" w:bidi="ar-SA"/>
    </w:rPr>
  </w:style>
  <w:style w:type="character" w:default="1" w:styleId="41">
    <w:name w:val="Default Paragraph Font"/>
    <w:semiHidden/>
    <w:unhideWhenUsed/>
    <w:qFormat/>
    <w:uiPriority w:val="1"/>
  </w:style>
  <w:style w:type="table" w:default="1" w:styleId="38">
    <w:name w:val="Normal Table"/>
    <w:semiHidden/>
    <w:unhideWhenUsed/>
    <w:qFormat/>
    <w:uiPriority w:val="99"/>
    <w:tblPr>
      <w:tblLayout w:type="fixed"/>
      <w:tblCellMar>
        <w:top w:w="0" w:type="dxa"/>
        <w:left w:w="108" w:type="dxa"/>
        <w:bottom w:w="0" w:type="dxa"/>
        <w:right w:w="108" w:type="dxa"/>
      </w:tblCellMar>
    </w:tblPr>
  </w:style>
  <w:style w:type="paragraph" w:customStyle="1" w:styleId="7">
    <w:name w:val="文档正文"/>
    <w:basedOn w:val="1"/>
    <w:link w:val="113"/>
    <w:qFormat/>
    <w:uiPriority w:val="0"/>
    <w:pPr>
      <w:adjustRightInd w:val="0"/>
      <w:spacing w:line="480" w:lineRule="atLeast"/>
      <w:ind w:firstLine="567"/>
      <w:textAlignment w:val="baseline"/>
    </w:pPr>
    <w:rPr>
      <w:rFonts w:ascii="长城仿宋"/>
      <w:kern w:val="0"/>
      <w:sz w:val="24"/>
      <w:lang w:val="zh-CN"/>
    </w:rPr>
  </w:style>
  <w:style w:type="paragraph" w:styleId="12">
    <w:name w:val="toc 7"/>
    <w:basedOn w:val="1"/>
    <w:next w:val="1"/>
    <w:qFormat/>
    <w:uiPriority w:val="39"/>
    <w:pPr>
      <w:ind w:left="1260"/>
      <w:jc w:val="left"/>
    </w:pPr>
    <w:rPr>
      <w:rFonts w:ascii="等线" w:hAnsi="Calibri" w:eastAsia="等线" w:cs="黑体"/>
      <w:sz w:val="18"/>
      <w:szCs w:val="18"/>
    </w:rPr>
  </w:style>
  <w:style w:type="paragraph" w:styleId="13">
    <w:name w:val="List Number"/>
    <w:basedOn w:val="1"/>
    <w:qFormat/>
    <w:uiPriority w:val="0"/>
    <w:pPr>
      <w:numPr>
        <w:ilvl w:val="0"/>
        <w:numId w:val="1"/>
      </w:numPr>
    </w:pPr>
  </w:style>
  <w:style w:type="paragraph" w:styleId="14">
    <w:name w:val="Normal Indent"/>
    <w:basedOn w:val="1"/>
    <w:link w:val="124"/>
    <w:qFormat/>
    <w:uiPriority w:val="0"/>
    <w:pPr>
      <w:overflowPunct w:val="0"/>
      <w:snapToGrid w:val="0"/>
      <w:spacing w:line="317" w:lineRule="auto"/>
      <w:ind w:firstLine="420"/>
      <w:textAlignment w:val="bottom"/>
    </w:pPr>
    <w:rPr>
      <w:rFonts w:ascii="BIAODIAN" w:hAnsi="BIAODIAN" w:eastAsia="彩虹粗仿宋"/>
      <w:kern w:val="0"/>
      <w:sz w:val="28"/>
    </w:rPr>
  </w:style>
  <w:style w:type="paragraph" w:styleId="15">
    <w:name w:val="Document Map"/>
    <w:basedOn w:val="1"/>
    <w:link w:val="125"/>
    <w:qFormat/>
    <w:uiPriority w:val="0"/>
    <w:pPr>
      <w:shd w:val="clear" w:color="auto" w:fill="000080"/>
      <w:adjustRightInd w:val="0"/>
      <w:spacing w:line="312" w:lineRule="atLeast"/>
      <w:textAlignment w:val="baseline"/>
    </w:pPr>
    <w:rPr>
      <w:kern w:val="0"/>
      <w:sz w:val="24"/>
    </w:rPr>
  </w:style>
  <w:style w:type="paragraph" w:styleId="16">
    <w:name w:val="annotation text"/>
    <w:basedOn w:val="1"/>
    <w:link w:val="135"/>
    <w:qFormat/>
    <w:uiPriority w:val="0"/>
    <w:pPr>
      <w:jc w:val="left"/>
    </w:pPr>
  </w:style>
  <w:style w:type="paragraph" w:styleId="17">
    <w:name w:val="Body Text"/>
    <w:basedOn w:val="1"/>
    <w:link w:val="138"/>
    <w:qFormat/>
    <w:uiPriority w:val="0"/>
    <w:pPr>
      <w:spacing w:line="480" w:lineRule="auto"/>
      <w:jc w:val="center"/>
    </w:pPr>
    <w:rPr>
      <w:rFonts w:hint="eastAsia" w:ascii="宋体" w:eastAsia="楷体_GB2312"/>
      <w:b/>
      <w:sz w:val="72"/>
    </w:rPr>
  </w:style>
  <w:style w:type="paragraph" w:styleId="18">
    <w:name w:val="Body Text Indent"/>
    <w:basedOn w:val="1"/>
    <w:qFormat/>
    <w:uiPriority w:val="0"/>
    <w:pPr>
      <w:spacing w:line="360" w:lineRule="auto"/>
      <w:ind w:firstLine="420" w:firstLineChars="200"/>
    </w:pPr>
    <w:rPr>
      <w:bCs/>
      <w:szCs w:val="30"/>
    </w:rPr>
  </w:style>
  <w:style w:type="paragraph" w:styleId="19">
    <w:name w:val="toc 5"/>
    <w:basedOn w:val="1"/>
    <w:next w:val="1"/>
    <w:qFormat/>
    <w:uiPriority w:val="39"/>
    <w:pPr>
      <w:ind w:left="840"/>
      <w:jc w:val="left"/>
    </w:pPr>
    <w:rPr>
      <w:rFonts w:ascii="等线" w:hAnsi="Calibri" w:eastAsia="等线" w:cs="黑体"/>
      <w:sz w:val="18"/>
      <w:szCs w:val="18"/>
    </w:rPr>
  </w:style>
  <w:style w:type="paragraph" w:styleId="20">
    <w:name w:val="toc 3"/>
    <w:basedOn w:val="1"/>
    <w:next w:val="1"/>
    <w:qFormat/>
    <w:uiPriority w:val="39"/>
    <w:pPr>
      <w:ind w:left="420"/>
      <w:jc w:val="left"/>
    </w:pPr>
    <w:rPr>
      <w:rFonts w:ascii="等线" w:hAnsi="Calibri" w:eastAsia="等线" w:cs="黑体"/>
      <w:i/>
      <w:iCs/>
      <w:sz w:val="20"/>
    </w:rPr>
  </w:style>
  <w:style w:type="paragraph" w:styleId="21">
    <w:name w:val="Plain Text"/>
    <w:basedOn w:val="1"/>
    <w:link w:val="128"/>
    <w:qFormat/>
    <w:uiPriority w:val="0"/>
    <w:rPr>
      <w:rFonts w:hint="eastAsia" w:ascii="宋体" w:hAnsi="Courier New"/>
    </w:rPr>
  </w:style>
  <w:style w:type="paragraph" w:styleId="22">
    <w:name w:val="toc 8"/>
    <w:basedOn w:val="1"/>
    <w:next w:val="1"/>
    <w:qFormat/>
    <w:uiPriority w:val="39"/>
    <w:pPr>
      <w:ind w:left="1470"/>
      <w:jc w:val="left"/>
    </w:pPr>
    <w:rPr>
      <w:rFonts w:ascii="等线" w:hAnsi="Calibri" w:eastAsia="等线" w:cs="黑体"/>
      <w:sz w:val="18"/>
      <w:szCs w:val="18"/>
    </w:rPr>
  </w:style>
  <w:style w:type="paragraph" w:styleId="23">
    <w:name w:val="Date"/>
    <w:basedOn w:val="1"/>
    <w:next w:val="1"/>
    <w:link w:val="129"/>
    <w:qFormat/>
    <w:uiPriority w:val="0"/>
    <w:rPr>
      <w:rFonts w:eastAsia="楷体_GB2312"/>
    </w:rPr>
  </w:style>
  <w:style w:type="paragraph" w:styleId="24">
    <w:name w:val="Balloon Text"/>
    <w:basedOn w:val="1"/>
    <w:link w:val="110"/>
    <w:qFormat/>
    <w:uiPriority w:val="0"/>
    <w:rPr>
      <w:sz w:val="18"/>
      <w:szCs w:val="18"/>
    </w:rPr>
  </w:style>
  <w:style w:type="paragraph" w:styleId="25">
    <w:name w:val="footer"/>
    <w:basedOn w:val="1"/>
    <w:link w:val="130"/>
    <w:qFormat/>
    <w:uiPriority w:val="99"/>
    <w:pPr>
      <w:tabs>
        <w:tab w:val="center" w:pos="4153"/>
        <w:tab w:val="right" w:pos="8306"/>
      </w:tabs>
      <w:snapToGrid w:val="0"/>
      <w:jc w:val="left"/>
    </w:pPr>
    <w:rPr>
      <w:sz w:val="18"/>
    </w:rPr>
  </w:style>
  <w:style w:type="paragraph" w:styleId="26">
    <w:name w:val="header"/>
    <w:basedOn w:val="1"/>
    <w:link w:val="13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7">
    <w:name w:val="toc 1"/>
    <w:basedOn w:val="1"/>
    <w:next w:val="1"/>
    <w:qFormat/>
    <w:uiPriority w:val="39"/>
    <w:pPr>
      <w:tabs>
        <w:tab w:val="right" w:leader="dot" w:pos="9004"/>
      </w:tabs>
      <w:spacing w:before="120" w:after="120"/>
      <w:jc w:val="center"/>
    </w:pPr>
    <w:rPr>
      <w:rFonts w:ascii="宋体" w:hAnsi="宋体" w:cs="黑体"/>
      <w:b/>
      <w:bCs/>
      <w:caps/>
      <w:sz w:val="28"/>
      <w:szCs w:val="28"/>
    </w:rPr>
  </w:style>
  <w:style w:type="paragraph" w:styleId="28">
    <w:name w:val="toc 4"/>
    <w:basedOn w:val="1"/>
    <w:next w:val="1"/>
    <w:qFormat/>
    <w:uiPriority w:val="39"/>
    <w:pPr>
      <w:ind w:left="630"/>
      <w:jc w:val="left"/>
    </w:pPr>
    <w:rPr>
      <w:rFonts w:ascii="等线" w:hAnsi="Calibri" w:eastAsia="等线" w:cs="黑体"/>
      <w:sz w:val="18"/>
      <w:szCs w:val="18"/>
    </w:rPr>
  </w:style>
  <w:style w:type="paragraph" w:styleId="29">
    <w:name w:val="Subtitle"/>
    <w:basedOn w:val="1"/>
    <w:link w:val="132"/>
    <w:qFormat/>
    <w:uiPriority w:val="0"/>
    <w:pPr>
      <w:adjustRightInd w:val="0"/>
      <w:spacing w:before="240" w:after="60" w:line="312" w:lineRule="atLeast"/>
      <w:jc w:val="center"/>
      <w:textAlignment w:val="baseline"/>
      <w:outlineLvl w:val="1"/>
    </w:pPr>
    <w:rPr>
      <w:rFonts w:ascii="Arial" w:hAnsi="Arial" w:cs="Arial"/>
      <w:b/>
      <w:bCs/>
      <w:kern w:val="28"/>
      <w:sz w:val="32"/>
      <w:szCs w:val="32"/>
    </w:rPr>
  </w:style>
  <w:style w:type="paragraph" w:styleId="30">
    <w:name w:val="toc 6"/>
    <w:basedOn w:val="1"/>
    <w:next w:val="1"/>
    <w:qFormat/>
    <w:uiPriority w:val="39"/>
    <w:pPr>
      <w:ind w:left="1050"/>
      <w:jc w:val="left"/>
    </w:pPr>
    <w:rPr>
      <w:rFonts w:ascii="等线" w:hAnsi="Calibri" w:eastAsia="等线" w:cs="黑体"/>
      <w:sz w:val="18"/>
      <w:szCs w:val="18"/>
    </w:rPr>
  </w:style>
  <w:style w:type="paragraph" w:styleId="31">
    <w:name w:val="Body Text Indent 3"/>
    <w:basedOn w:val="1"/>
    <w:link w:val="133"/>
    <w:qFormat/>
    <w:uiPriority w:val="0"/>
    <w:pPr>
      <w:adjustRightInd w:val="0"/>
      <w:spacing w:after="120" w:line="312" w:lineRule="atLeast"/>
      <w:ind w:left="420" w:leftChars="200"/>
      <w:textAlignment w:val="baseline"/>
    </w:pPr>
    <w:rPr>
      <w:kern w:val="0"/>
      <w:sz w:val="16"/>
      <w:szCs w:val="16"/>
      <w:lang w:val="zh-CN"/>
    </w:rPr>
  </w:style>
  <w:style w:type="paragraph" w:styleId="32">
    <w:name w:val="toc 2"/>
    <w:basedOn w:val="1"/>
    <w:next w:val="1"/>
    <w:qFormat/>
    <w:uiPriority w:val="39"/>
    <w:pPr>
      <w:ind w:left="210"/>
      <w:jc w:val="left"/>
    </w:pPr>
    <w:rPr>
      <w:rFonts w:ascii="等线" w:hAnsi="Calibri" w:eastAsia="等线" w:cs="黑体"/>
      <w:smallCaps/>
      <w:sz w:val="20"/>
    </w:rPr>
  </w:style>
  <w:style w:type="paragraph" w:styleId="33">
    <w:name w:val="toc 9"/>
    <w:basedOn w:val="1"/>
    <w:next w:val="1"/>
    <w:qFormat/>
    <w:uiPriority w:val="39"/>
    <w:pPr>
      <w:ind w:left="1680"/>
      <w:jc w:val="left"/>
    </w:pPr>
    <w:rPr>
      <w:rFonts w:ascii="等线" w:hAnsi="Calibri" w:eastAsia="等线" w:cs="黑体"/>
      <w:sz w:val="18"/>
      <w:szCs w:val="18"/>
    </w:rPr>
  </w:style>
  <w:style w:type="paragraph" w:styleId="34">
    <w:name w:val="Normal (Web)"/>
    <w:basedOn w:val="1"/>
    <w:qFormat/>
    <w:uiPriority w:val="0"/>
    <w:pPr>
      <w:widowControl/>
      <w:spacing w:before="100" w:beforeAutospacing="1" w:after="100" w:afterAutospacing="1"/>
      <w:jc w:val="left"/>
    </w:pPr>
    <w:rPr>
      <w:rFonts w:ascii="Calibri" w:hAnsi="Calibri"/>
      <w:kern w:val="0"/>
      <w:sz w:val="24"/>
      <w:szCs w:val="24"/>
    </w:rPr>
  </w:style>
  <w:style w:type="paragraph" w:styleId="35">
    <w:name w:val="Title"/>
    <w:basedOn w:val="1"/>
    <w:next w:val="1"/>
    <w:link w:val="134"/>
    <w:qFormat/>
    <w:uiPriority w:val="0"/>
    <w:pPr>
      <w:spacing w:before="240" w:after="60"/>
      <w:jc w:val="center"/>
      <w:outlineLvl w:val="0"/>
    </w:pPr>
    <w:rPr>
      <w:rFonts w:ascii="Cambria" w:hAnsi="Cambria"/>
      <w:b/>
      <w:bCs/>
      <w:sz w:val="32"/>
      <w:szCs w:val="32"/>
    </w:rPr>
  </w:style>
  <w:style w:type="paragraph" w:styleId="36">
    <w:name w:val="annotation subject"/>
    <w:basedOn w:val="16"/>
    <w:next w:val="16"/>
    <w:link w:val="137"/>
    <w:unhideWhenUsed/>
    <w:qFormat/>
    <w:uiPriority w:val="0"/>
    <w:rPr>
      <w:b/>
      <w:bCs/>
      <w:szCs w:val="24"/>
    </w:rPr>
  </w:style>
  <w:style w:type="paragraph" w:styleId="37">
    <w:name w:val="Body Text First Indent"/>
    <w:basedOn w:val="17"/>
    <w:link w:val="139"/>
    <w:unhideWhenUsed/>
    <w:qFormat/>
    <w:uiPriority w:val="99"/>
    <w:pPr>
      <w:spacing w:after="120" w:line="240" w:lineRule="auto"/>
      <w:ind w:firstLine="420" w:firstLineChars="100"/>
      <w:jc w:val="both"/>
    </w:pPr>
    <w:rPr>
      <w:rFonts w:hint="default" w:ascii="Times New Roman" w:eastAsia="宋体"/>
      <w:b w:val="0"/>
      <w:sz w:val="21"/>
      <w:szCs w:val="24"/>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40">
    <w:name w:val="Table Theme"/>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2">
    <w:name w:val="page number"/>
    <w:qFormat/>
    <w:uiPriority w:val="0"/>
  </w:style>
  <w:style w:type="character" w:styleId="43">
    <w:name w:val="Hyperlink"/>
    <w:unhideWhenUsed/>
    <w:qFormat/>
    <w:uiPriority w:val="99"/>
    <w:rPr>
      <w:color w:val="0563C1"/>
      <w:u w:val="single"/>
    </w:rPr>
  </w:style>
  <w:style w:type="character" w:styleId="44">
    <w:name w:val="annotation reference"/>
    <w:unhideWhenUsed/>
    <w:qFormat/>
    <w:uiPriority w:val="0"/>
    <w:rPr>
      <w:sz w:val="21"/>
      <w:szCs w:val="21"/>
    </w:rPr>
  </w:style>
  <w:style w:type="paragraph" w:customStyle="1" w:styleId="45">
    <w:name w:val="Heading 21"/>
    <w:basedOn w:val="1"/>
    <w:next w:val="1"/>
    <w:qFormat/>
    <w:uiPriority w:val="0"/>
    <w:pPr>
      <w:autoSpaceDE w:val="0"/>
      <w:autoSpaceDN w:val="0"/>
      <w:adjustRightInd w:val="0"/>
      <w:spacing w:before="240" w:after="60" w:line="360" w:lineRule="atLeast"/>
      <w:textAlignment w:val="baseline"/>
    </w:pPr>
    <w:rPr>
      <w:rFonts w:ascii="Arial" w:hAnsi="Arial"/>
      <w:kern w:val="0"/>
      <w:sz w:val="24"/>
    </w:rPr>
  </w:style>
  <w:style w:type="paragraph" w:customStyle="1" w:styleId="46">
    <w:name w:val="索引标题1"/>
    <w:basedOn w:val="1"/>
    <w:next w:val="1"/>
    <w:qFormat/>
    <w:uiPriority w:val="0"/>
    <w:pPr>
      <w:spacing w:before="120" w:after="120" w:line="360" w:lineRule="auto"/>
      <w:ind w:firstLine="200" w:firstLineChars="200"/>
      <w:jc w:val="left"/>
    </w:pPr>
    <w:rPr>
      <w:b/>
      <w:bCs/>
      <w:i/>
      <w:iCs/>
      <w:szCs w:val="24"/>
    </w:rPr>
  </w:style>
  <w:style w:type="paragraph" w:customStyle="1" w:styleId="47">
    <w:name w:val="纯文本1"/>
    <w:basedOn w:val="1"/>
    <w:qFormat/>
    <w:uiPriority w:val="0"/>
    <w:rPr>
      <w:rFonts w:ascii="宋体" w:hAnsi="Courier New"/>
    </w:rPr>
  </w:style>
  <w:style w:type="paragraph" w:customStyle="1" w:styleId="48">
    <w:name w:val="Default"/>
    <w:qFormat/>
    <w:uiPriority w:val="0"/>
    <w:pPr>
      <w:widowControl w:val="0"/>
      <w:autoSpaceDE w:val="0"/>
      <w:autoSpaceDN w:val="0"/>
    </w:pPr>
    <w:rPr>
      <w:rFonts w:ascii="仿宋" w:hAnsi="仿宋" w:eastAsia="仿宋" w:cs="Times New Roman"/>
      <w:color w:val="000000"/>
      <w:sz w:val="24"/>
      <w:lang w:val="en-US" w:eastAsia="zh-CN" w:bidi="ar-SA"/>
    </w:rPr>
  </w:style>
  <w:style w:type="paragraph" w:customStyle="1" w:styleId="49">
    <w:name w:val="列表段落1"/>
    <w:basedOn w:val="1"/>
    <w:qFormat/>
    <w:uiPriority w:val="0"/>
    <w:pPr>
      <w:ind w:firstLine="420" w:firstLineChars="200"/>
    </w:pPr>
  </w:style>
  <w:style w:type="paragraph" w:customStyle="1" w:styleId="50">
    <w:name w:val="QB标题3"/>
    <w:basedOn w:val="1"/>
    <w:qFormat/>
    <w:uiPriority w:val="0"/>
    <w:pPr>
      <w:keepNext/>
      <w:keepLines/>
      <w:tabs>
        <w:tab w:val="left" w:pos="1211"/>
      </w:tabs>
      <w:spacing w:before="260" w:after="260" w:line="416" w:lineRule="auto"/>
      <w:ind w:left="1211" w:hanging="360"/>
      <w:outlineLvl w:val="1"/>
    </w:pPr>
    <w:rPr>
      <w:rFonts w:ascii="宋体" w:hAnsi="宋体"/>
      <w:bCs/>
      <w:szCs w:val="21"/>
    </w:rPr>
  </w:style>
  <w:style w:type="paragraph" w:customStyle="1" w:styleId="51">
    <w:name w:val="QB标题2"/>
    <w:basedOn w:val="3"/>
    <w:qFormat/>
    <w:uiPriority w:val="0"/>
    <w:pPr>
      <w:keepNext w:val="0"/>
      <w:numPr>
        <w:ilvl w:val="1"/>
        <w:numId w:val="2"/>
      </w:numPr>
      <w:tabs>
        <w:tab w:val="left" w:pos="360"/>
        <w:tab w:val="left" w:pos="425"/>
        <w:tab w:val="clear" w:pos="567"/>
      </w:tabs>
      <w:spacing w:before="0" w:after="0" w:line="360" w:lineRule="auto"/>
      <w:ind w:left="0" w:firstLine="0"/>
    </w:pPr>
    <w:rPr>
      <w:rFonts w:ascii="宋体" w:hAnsi="宋体" w:eastAsia="宋体"/>
      <w:b w:val="0"/>
      <w:sz w:val="21"/>
      <w:szCs w:val="21"/>
    </w:rPr>
  </w:style>
  <w:style w:type="paragraph" w:styleId="52">
    <w:name w:val="List Paragraph"/>
    <w:basedOn w:val="1"/>
    <w:link w:val="144"/>
    <w:qFormat/>
    <w:uiPriority w:val="0"/>
    <w:pPr>
      <w:widowControl/>
      <w:ind w:firstLine="420"/>
    </w:pPr>
    <w:rPr>
      <w:rFonts w:ascii="Calibri" w:hAnsi="Calibri" w:cs="宋体"/>
      <w:kern w:val="0"/>
      <w:szCs w:val="21"/>
    </w:rPr>
  </w:style>
  <w:style w:type="paragraph" w:customStyle="1" w:styleId="53">
    <w:name w:val="表格"/>
    <w:basedOn w:val="1"/>
    <w:qFormat/>
    <w:uiPriority w:val="0"/>
    <w:pPr>
      <w:spacing w:line="360" w:lineRule="atLeast"/>
      <w:ind w:left="-48" w:leftChars="-20" w:right="-48" w:rightChars="-20"/>
      <w:jc w:val="center"/>
    </w:pPr>
    <w:rPr>
      <w:rFonts w:ascii="黑体" w:hAnsi="宋体" w:eastAsia="黑体"/>
      <w:w w:val="66"/>
      <w:szCs w:val="24"/>
    </w:rPr>
  </w:style>
  <w:style w:type="paragraph" w:customStyle="1" w:styleId="54">
    <w:name w:val="首行缩进"/>
    <w:basedOn w:val="1"/>
    <w:qFormat/>
    <w:uiPriority w:val="0"/>
    <w:pPr>
      <w:spacing w:line="360" w:lineRule="auto"/>
      <w:ind w:firstLine="480" w:firstLineChars="200"/>
      <w:jc w:val="left"/>
    </w:pPr>
    <w:rPr>
      <w:rFonts w:ascii="宋体" w:hAnsi="宋体"/>
      <w:sz w:val="24"/>
    </w:rPr>
  </w:style>
  <w:style w:type="paragraph" w:customStyle="1" w:styleId="55">
    <w:name w:val="Char1"/>
    <w:basedOn w:val="1"/>
    <w:qFormat/>
    <w:uiPriority w:val="0"/>
    <w:rPr>
      <w:sz w:val="24"/>
      <w:szCs w:val="24"/>
    </w:rPr>
  </w:style>
  <w:style w:type="paragraph" w:customStyle="1" w:styleId="56">
    <w:name w:val="列出段落1"/>
    <w:basedOn w:val="57"/>
    <w:qFormat/>
    <w:uiPriority w:val="34"/>
    <w:pPr>
      <w:ind w:firstLine="420"/>
    </w:pPr>
  </w:style>
  <w:style w:type="paragraph" w:customStyle="1" w:styleId="57">
    <w:name w:val="Normal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高晓梦标题二"/>
    <w:basedOn w:val="1"/>
    <w:qFormat/>
    <w:uiPriority w:val="0"/>
    <w:pPr>
      <w:spacing w:before="120" w:after="120" w:line="360" w:lineRule="auto"/>
      <w:jc w:val="left"/>
      <w:outlineLvl w:val="1"/>
    </w:pPr>
    <w:rPr>
      <w:rFonts w:ascii="仿宋_GB2312" w:hAnsi="宋体"/>
      <w:b/>
      <w:color w:val="000000"/>
      <w:kern w:val="0"/>
      <w:sz w:val="24"/>
      <w:szCs w:val="24"/>
    </w:rPr>
  </w:style>
  <w:style w:type="paragraph" w:customStyle="1" w:styleId="59">
    <w:name w:val="高晓梦标题四"/>
    <w:basedOn w:val="1"/>
    <w:qFormat/>
    <w:uiPriority w:val="0"/>
    <w:pPr>
      <w:tabs>
        <w:tab w:val="left" w:pos="360"/>
      </w:tabs>
      <w:spacing w:line="360" w:lineRule="auto"/>
      <w:ind w:left="360" w:hanging="360"/>
      <w:jc w:val="left"/>
      <w:outlineLvl w:val="3"/>
    </w:pPr>
    <w:rPr>
      <w:rFonts w:ascii="Calibri" w:hAnsi="Calibri"/>
      <w:kern w:val="0"/>
      <w:sz w:val="24"/>
      <w:szCs w:val="24"/>
    </w:rPr>
  </w:style>
  <w:style w:type="paragraph" w:customStyle="1" w:styleId="60">
    <w:name w:val="封面黑体内容"/>
    <w:link w:val="149"/>
    <w:semiHidden/>
    <w:qFormat/>
    <w:uiPriority w:val="0"/>
    <w:pPr>
      <w:tabs>
        <w:tab w:val="left" w:pos="2280"/>
        <w:tab w:val="right" w:pos="4200"/>
        <w:tab w:val="left" w:pos="4440"/>
      </w:tabs>
    </w:pPr>
    <w:rPr>
      <w:rFonts w:ascii="黑体" w:hAnsi="Times New Roman" w:eastAsia="黑体" w:cs="Times New Roman"/>
      <w:sz w:val="32"/>
      <w:szCs w:val="32"/>
      <w:lang w:val="en-US" w:eastAsia="zh-CN" w:bidi="ar-SA"/>
    </w:rPr>
  </w:style>
  <w:style w:type="paragraph" w:customStyle="1" w:styleId="61">
    <w:name w:val="粘贴正文"/>
    <w:link w:val="116"/>
    <w:qFormat/>
    <w:uiPriority w:val="0"/>
    <w:pPr>
      <w:spacing w:line="360" w:lineRule="auto"/>
      <w:ind w:right="210" w:firstLine="480"/>
      <w:jc w:val="both"/>
    </w:pPr>
    <w:rPr>
      <w:rFonts w:ascii="Times New Roman" w:hAnsi="Times New Roman" w:eastAsia="宋体" w:cs="Times New Roman"/>
      <w:kern w:val="2"/>
      <w:sz w:val="24"/>
      <w:szCs w:val="21"/>
      <w:lang w:val="en-US" w:eastAsia="zh-CN" w:bidi="ar-SA"/>
    </w:rPr>
  </w:style>
  <w:style w:type="paragraph" w:customStyle="1" w:styleId="62">
    <w:name w:val="表头"/>
    <w:basedOn w:val="7"/>
    <w:link w:val="151"/>
    <w:uiPriority w:val="0"/>
    <w:pPr>
      <w:spacing w:line="440" w:lineRule="atLeast"/>
      <w:ind w:firstLine="0"/>
      <w:jc w:val="center"/>
    </w:pPr>
    <w:rPr>
      <w:rFonts w:ascii="Times New Roman"/>
      <w:spacing w:val="4"/>
    </w:rPr>
  </w:style>
  <w:style w:type="paragraph" w:customStyle="1" w:styleId="63">
    <w:name w:val="JS标题2"/>
    <w:basedOn w:val="3"/>
    <w:link w:val="152"/>
    <w:qFormat/>
    <w:uiPriority w:val="0"/>
    <w:pPr>
      <w:spacing w:before="0" w:after="0" w:line="360" w:lineRule="auto"/>
      <w:ind w:left="576" w:hanging="576"/>
      <w:textAlignment w:val="baseline"/>
    </w:pPr>
    <w:rPr>
      <w:rFonts w:ascii="Cambria" w:hAnsi="Cambria" w:eastAsia="宋体"/>
      <w:kern w:val="0"/>
      <w:sz w:val="28"/>
      <w:szCs w:val="28"/>
    </w:rPr>
  </w:style>
  <w:style w:type="paragraph" w:customStyle="1" w:styleId="64">
    <w:name w:val="样式2正文 Char Char Char Char Char Char Char Char Char"/>
    <w:basedOn w:val="1"/>
    <w:link w:val="154"/>
    <w:uiPriority w:val="0"/>
    <w:pPr>
      <w:snapToGrid w:val="0"/>
      <w:spacing w:after="60"/>
      <w:ind w:left="1134"/>
    </w:pPr>
    <w:rPr>
      <w:rFonts w:ascii="Book Antiqua" w:hAnsi="Book Antiqua"/>
      <w:kern w:val="0"/>
      <w:sz w:val="24"/>
      <w:szCs w:val="24"/>
      <w:lang w:val="zh-CN"/>
    </w:rPr>
  </w:style>
  <w:style w:type="paragraph" w:customStyle="1" w:styleId="65">
    <w:name w:val="工程全称"/>
    <w:uiPriority w:val="0"/>
    <w:pPr>
      <w:widowControl w:val="0"/>
      <w:adjustRightInd w:val="0"/>
      <w:spacing w:before="120" w:after="120" w:line="312" w:lineRule="atLeast"/>
      <w:ind w:right="879" w:firstLine="839"/>
      <w:jc w:val="center"/>
    </w:pPr>
    <w:rPr>
      <w:rFonts w:ascii="黑体" w:hAnsi="Times New Roman" w:eastAsia="黑体" w:cs="Times New Roman"/>
      <w:b/>
      <w:sz w:val="36"/>
      <w:lang w:val="en-US" w:eastAsia="zh-CN" w:bidi="ar-SA"/>
    </w:rPr>
  </w:style>
  <w:style w:type="paragraph" w:customStyle="1" w:styleId="66">
    <w:name w:val="*正文"/>
    <w:basedOn w:val="58"/>
    <w:qFormat/>
    <w:uiPriority w:val="0"/>
    <w:pPr>
      <w:tabs>
        <w:tab w:val="left" w:pos="567"/>
        <w:tab w:val="left" w:pos="993"/>
      </w:tabs>
      <w:autoSpaceDE w:val="0"/>
      <w:autoSpaceDN w:val="0"/>
      <w:adjustRightInd w:val="0"/>
      <w:snapToGrid w:val="0"/>
      <w:ind w:left="567" w:hanging="567"/>
    </w:pPr>
    <w:rPr>
      <w:rFonts w:ascii="宋体"/>
      <w:b w:val="0"/>
      <w:bCs/>
      <w:color w:val="auto"/>
    </w:rPr>
  </w:style>
  <w:style w:type="paragraph" w:customStyle="1" w:styleId="67">
    <w:name w:val="本文件标题一"/>
    <w:basedOn w:val="2"/>
    <w:qFormat/>
    <w:uiPriority w:val="0"/>
    <w:pPr>
      <w:keepNext w:val="0"/>
      <w:pageBreakBefore/>
      <w:widowControl/>
      <w:tabs>
        <w:tab w:val="left" w:pos="454"/>
      </w:tabs>
      <w:adjustRightInd w:val="0"/>
      <w:snapToGrid w:val="0"/>
      <w:spacing w:before="160" w:after="160" w:line="360" w:lineRule="auto"/>
      <w:jc w:val="center"/>
    </w:pPr>
    <w:rPr>
      <w:rFonts w:ascii="Calibri" w:hAnsi="Calibri" w:eastAsia="宋体"/>
      <w:b/>
      <w:bCs/>
      <w:kern w:val="44"/>
      <w:szCs w:val="44"/>
    </w:rPr>
  </w:style>
  <w:style w:type="paragraph" w:customStyle="1" w:styleId="68">
    <w:name w:val="题头内容"/>
    <w:basedOn w:val="1"/>
    <w:semiHidden/>
    <w:uiPriority w:val="0"/>
    <w:pPr>
      <w:adjustRightInd w:val="0"/>
      <w:spacing w:before="120" w:after="120" w:line="312" w:lineRule="atLeast"/>
      <w:ind w:right="879" w:firstLine="839"/>
      <w:jc w:val="center"/>
      <w:textAlignment w:val="baseline"/>
    </w:pPr>
    <w:rPr>
      <w:rFonts w:ascii="黑体" w:eastAsia="黑体"/>
      <w:kern w:val="0"/>
      <w:sz w:val="32"/>
    </w:rPr>
  </w:style>
  <w:style w:type="paragraph" w:customStyle="1" w:styleId="69">
    <w:name w:val="表格内容"/>
    <w:basedOn w:val="1"/>
    <w:uiPriority w:val="0"/>
    <w:pPr>
      <w:widowControl/>
      <w:autoSpaceDE w:val="0"/>
      <w:autoSpaceDN w:val="0"/>
      <w:adjustRightInd w:val="0"/>
      <w:spacing w:before="60" w:line="300" w:lineRule="auto"/>
      <w:jc w:val="center"/>
      <w:textAlignment w:val="bottom"/>
    </w:pPr>
    <w:rPr>
      <w:rFonts w:eastAsia="仿宋_GB2312"/>
      <w:kern w:val="0"/>
      <w:sz w:val="24"/>
    </w:rPr>
  </w:style>
  <w:style w:type="paragraph" w:customStyle="1" w:styleId="70">
    <w:name w:val="样式 标题 2 + Times New Roman 四号 非加粗 段前: 5 磅 段后: 0 磅 行距: 固定值 20..."/>
    <w:basedOn w:val="3"/>
    <w:qFormat/>
    <w:uiPriority w:val="99"/>
    <w:pPr>
      <w:keepLines w:val="0"/>
      <w:widowControl/>
      <w:spacing w:before="100" w:after="60" w:line="400" w:lineRule="exact"/>
      <w:jc w:val="left"/>
    </w:pPr>
    <w:rPr>
      <w:rFonts w:ascii="Times New Roman" w:hAnsi="Times New Roman"/>
      <w:iCs/>
      <w:kern w:val="0"/>
      <w:sz w:val="28"/>
      <w:szCs w:val="28"/>
    </w:rPr>
  </w:style>
  <w:style w:type="paragraph" w:customStyle="1" w:styleId="71">
    <w:name w:val="目录"/>
    <w:next w:val="7"/>
    <w:semiHidden/>
    <w:uiPriority w:val="0"/>
    <w:pPr>
      <w:widowControl w:val="0"/>
      <w:spacing w:before="360" w:after="360"/>
      <w:jc w:val="center"/>
    </w:pPr>
    <w:rPr>
      <w:rFonts w:ascii="黑体" w:hAnsi="Times New Roman" w:eastAsia="黑体" w:cs="Times New Roman"/>
      <w:spacing w:val="20"/>
      <w:sz w:val="32"/>
      <w:lang w:val="en-US" w:eastAsia="zh-CN" w:bidi="ar-SA"/>
    </w:rPr>
  </w:style>
  <w:style w:type="paragraph" w:customStyle="1" w:styleId="72">
    <w:name w:val="本文档标题一"/>
    <w:basedOn w:val="4"/>
    <w:qFormat/>
    <w:uiPriority w:val="0"/>
    <w:pPr>
      <w:spacing w:before="0" w:after="120" w:line="360" w:lineRule="auto"/>
      <w:outlineLvl w:val="0"/>
    </w:pPr>
    <w:rPr>
      <w:bCs/>
      <w:sz w:val="24"/>
      <w:szCs w:val="32"/>
    </w:rPr>
  </w:style>
  <w:style w:type="paragraph" w:customStyle="1" w:styleId="73">
    <w:name w:val="_Style 108"/>
    <w:basedOn w:val="1"/>
    <w:next w:val="52"/>
    <w:qFormat/>
    <w:uiPriority w:val="0"/>
    <w:pPr>
      <w:widowControl/>
      <w:ind w:left="720"/>
      <w:contextualSpacing/>
      <w:jc w:val="left"/>
    </w:pPr>
    <w:rPr>
      <w:rFonts w:ascii="Calibri" w:hAnsi="Calibri"/>
      <w:kern w:val="0"/>
      <w:szCs w:val="24"/>
      <w:lang w:eastAsia="en-US" w:bidi="en-US"/>
    </w:rPr>
  </w:style>
  <w:style w:type="paragraph" w:customStyle="1" w:styleId="74">
    <w:name w:val="特发项目标题二"/>
    <w:basedOn w:val="1"/>
    <w:qFormat/>
    <w:uiPriority w:val="0"/>
    <w:pPr>
      <w:spacing w:line="360" w:lineRule="auto"/>
      <w:outlineLvl w:val="1"/>
    </w:pPr>
    <w:rPr>
      <w:rFonts w:ascii="宋体" w:hAnsi="宋体"/>
      <w:b/>
      <w:sz w:val="24"/>
      <w:szCs w:val="24"/>
    </w:rPr>
  </w:style>
  <w:style w:type="paragraph" w:customStyle="1" w:styleId="75">
    <w:name w:val="reader-word-layer"/>
    <w:basedOn w:val="1"/>
    <w:qFormat/>
    <w:uiPriority w:val="0"/>
    <w:pPr>
      <w:widowControl/>
      <w:spacing w:before="100" w:beforeAutospacing="1" w:after="100" w:afterAutospacing="1"/>
      <w:jc w:val="left"/>
    </w:pPr>
    <w:rPr>
      <w:rFonts w:ascii="宋体" w:hAnsi="宋体" w:cs="宋体"/>
      <w:kern w:val="0"/>
      <w:sz w:val="24"/>
      <w:szCs w:val="24"/>
      <w:lang w:eastAsia="en-US"/>
    </w:rPr>
  </w:style>
  <w:style w:type="paragraph" w:customStyle="1" w:styleId="76">
    <w:name w:val="高晓梦标题三"/>
    <w:basedOn w:val="1"/>
    <w:qFormat/>
    <w:uiPriority w:val="0"/>
    <w:pPr>
      <w:spacing w:line="360" w:lineRule="auto"/>
      <w:jc w:val="left"/>
      <w:outlineLvl w:val="2"/>
    </w:pPr>
    <w:rPr>
      <w:rFonts w:ascii="Calibri" w:hAnsi="Calibri"/>
      <w:kern w:val="0"/>
      <w:sz w:val="24"/>
      <w:szCs w:val="24"/>
    </w:rPr>
  </w:style>
  <w:style w:type="paragraph" w:customStyle="1" w:styleId="77">
    <w:name w:val="高晓梦标题一"/>
    <w:basedOn w:val="1"/>
    <w:qFormat/>
    <w:uiPriority w:val="0"/>
    <w:pPr>
      <w:numPr>
        <w:ilvl w:val="0"/>
        <w:numId w:val="2"/>
      </w:numPr>
      <w:spacing w:before="120" w:after="120" w:line="360" w:lineRule="auto"/>
      <w:ind w:left="5099"/>
      <w:jc w:val="center"/>
      <w:outlineLvl w:val="0"/>
    </w:pPr>
    <w:rPr>
      <w:rFonts w:ascii="仿宋_GB2312" w:hAnsi="宋体"/>
      <w:b/>
      <w:color w:val="000000"/>
      <w:kern w:val="0"/>
      <w:sz w:val="30"/>
      <w:szCs w:val="24"/>
    </w:rPr>
  </w:style>
  <w:style w:type="paragraph" w:customStyle="1" w:styleId="78">
    <w:name w:val="纯文本2"/>
    <w:basedOn w:val="1"/>
    <w:qFormat/>
    <w:uiPriority w:val="0"/>
    <w:pPr>
      <w:widowControl/>
      <w:jc w:val="left"/>
    </w:pPr>
    <w:rPr>
      <w:rFonts w:ascii="Calibri" w:hAnsi="Calibri"/>
      <w:kern w:val="0"/>
      <w:szCs w:val="24"/>
      <w:lang w:eastAsia="en-US"/>
    </w:rPr>
  </w:style>
  <w:style w:type="paragraph" w:customStyle="1" w:styleId="79">
    <w:name w:val="TOC 标题1"/>
    <w:basedOn w:val="2"/>
    <w:next w:val="1"/>
    <w:unhideWhenUsed/>
    <w:qFormat/>
    <w:uiPriority w:val="39"/>
    <w:pPr>
      <w:keepLines/>
      <w:widowControl/>
      <w:spacing w:before="240" w:line="259" w:lineRule="auto"/>
      <w:jc w:val="left"/>
      <w:outlineLvl w:val="9"/>
    </w:pPr>
    <w:rPr>
      <w:rFonts w:ascii="Calibri Light" w:hAnsi="Calibri Light" w:eastAsia="宋体"/>
      <w:color w:val="2E74B5"/>
      <w:kern w:val="0"/>
      <w:sz w:val="32"/>
      <w:szCs w:val="32"/>
    </w:rPr>
  </w:style>
  <w:style w:type="paragraph" w:customStyle="1" w:styleId="80">
    <w:name w:val="五号标题一"/>
    <w:basedOn w:val="1"/>
    <w:qFormat/>
    <w:uiPriority w:val="0"/>
    <w:pPr>
      <w:spacing w:after="50" w:afterLines="50" w:line="360" w:lineRule="auto"/>
      <w:jc w:val="center"/>
      <w:outlineLvl w:val="0"/>
    </w:pPr>
    <w:rPr>
      <w:rFonts w:ascii="宋体" w:hAnsi="宋体"/>
      <w:b/>
      <w:szCs w:val="24"/>
    </w:rPr>
  </w:style>
  <w:style w:type="paragraph" w:customStyle="1" w:styleId="81">
    <w:name w:val="注"/>
    <w:next w:val="1"/>
    <w:semiHidden/>
    <w:uiPriority w:val="0"/>
    <w:pPr>
      <w:spacing w:line="320" w:lineRule="atLeast"/>
      <w:ind w:firstLine="284"/>
    </w:pPr>
    <w:rPr>
      <w:rFonts w:ascii="宋体" w:hAnsi="Times New Roman" w:eastAsia="楷体_GB2312" w:cs="Times New Roman"/>
      <w:spacing w:val="4"/>
      <w:sz w:val="21"/>
      <w:lang w:val="en-US" w:eastAsia="zh-CN" w:bidi="ar-SA"/>
    </w:rPr>
  </w:style>
  <w:style w:type="paragraph" w:customStyle="1" w:styleId="82">
    <w:name w:val="Numbered Heading Style A.3"/>
    <w:basedOn w:val="4"/>
    <w:next w:val="1"/>
    <w:uiPriority w:val="0"/>
    <w:pPr>
      <w:keepLines w:val="0"/>
      <w:widowControl/>
      <w:numPr>
        <w:ilvl w:val="2"/>
        <w:numId w:val="3"/>
      </w:numPr>
      <w:tabs>
        <w:tab w:val="left" w:pos="360"/>
        <w:tab w:val="left" w:pos="1080"/>
        <w:tab w:val="left" w:pos="1996"/>
      </w:tabs>
      <w:spacing w:before="240" w:after="60" w:line="240" w:lineRule="auto"/>
      <w:ind w:left="0" w:firstLine="454"/>
      <w:jc w:val="left"/>
    </w:pPr>
    <w:rPr>
      <w:rFonts w:ascii="Arial" w:hAnsi="Arial"/>
      <w:kern w:val="0"/>
      <w:sz w:val="22"/>
      <w:lang w:eastAsia="en-US"/>
    </w:rPr>
  </w:style>
  <w:style w:type="paragraph" w:customStyle="1" w:styleId="83">
    <w:name w:val="特发项目标题三"/>
    <w:basedOn w:val="1"/>
    <w:qFormat/>
    <w:uiPriority w:val="0"/>
    <w:pPr>
      <w:numPr>
        <w:ilvl w:val="0"/>
        <w:numId w:val="4"/>
      </w:numPr>
      <w:spacing w:line="360" w:lineRule="auto"/>
      <w:outlineLvl w:val="2"/>
    </w:pPr>
    <w:rPr>
      <w:rFonts w:ascii="宋体" w:hAnsi="宋体"/>
      <w:kern w:val="0"/>
      <w:sz w:val="24"/>
      <w:szCs w:val="24"/>
    </w:rPr>
  </w:style>
  <w:style w:type="paragraph" w:customStyle="1" w:styleId="84">
    <w:name w:val="封面页眉"/>
    <w:basedOn w:val="26"/>
    <w:next w:val="7"/>
    <w:semiHidden/>
    <w:uiPriority w:val="0"/>
    <w:pPr>
      <w:widowControl/>
      <w:pBdr>
        <w:top w:val="none" w:color="auto" w:sz="0" w:space="0"/>
        <w:left w:val="none" w:color="auto" w:sz="0" w:space="0"/>
        <w:bottom w:val="none" w:color="auto" w:sz="0" w:space="0"/>
        <w:right w:val="none" w:color="auto" w:sz="0" w:space="0"/>
      </w:pBdr>
      <w:tabs>
        <w:tab w:val="left" w:pos="5980"/>
      </w:tabs>
      <w:snapToGrid/>
      <w:spacing w:line="240" w:lineRule="atLeast"/>
      <w:jc w:val="right"/>
    </w:pPr>
    <w:rPr>
      <w:kern w:val="0"/>
      <w:szCs w:val="28"/>
    </w:rPr>
  </w:style>
  <w:style w:type="paragraph" w:customStyle="1" w:styleId="85">
    <w:name w:val="j"/>
    <w:basedOn w:val="1"/>
    <w:uiPriority w:val="0"/>
    <w:pPr>
      <w:spacing w:line="312" w:lineRule="exact"/>
      <w:ind w:left="840" w:leftChars="200" w:hanging="420" w:hangingChars="200"/>
    </w:pPr>
    <w:rPr>
      <w:sz w:val="24"/>
      <w:szCs w:val="21"/>
    </w:rPr>
  </w:style>
  <w:style w:type="paragraph" w:customStyle="1" w:styleId="86">
    <w:name w:val="本文档标题三"/>
    <w:basedOn w:val="4"/>
    <w:qFormat/>
    <w:uiPriority w:val="0"/>
    <w:pPr>
      <w:spacing w:before="0" w:after="0" w:line="360" w:lineRule="auto"/>
      <w:jc w:val="both"/>
    </w:pPr>
    <w:rPr>
      <w:rFonts w:ascii="宋体" w:hAnsi="宋体"/>
      <w:bCs/>
      <w:sz w:val="21"/>
      <w:szCs w:val="21"/>
      <w:lang w:val="zh-CN"/>
    </w:rPr>
  </w:style>
  <w:style w:type="paragraph" w:customStyle="1" w:styleId="87">
    <w:name w:val="Numbered Heading Style A.1"/>
    <w:basedOn w:val="2"/>
    <w:next w:val="1"/>
    <w:qFormat/>
    <w:uiPriority w:val="0"/>
    <w:pPr>
      <w:widowControl/>
      <w:tabs>
        <w:tab w:val="left" w:pos="720"/>
      </w:tabs>
      <w:spacing w:before="240" w:after="60"/>
      <w:jc w:val="left"/>
    </w:pPr>
    <w:rPr>
      <w:rFonts w:ascii="Arial" w:hAnsi="Arial" w:eastAsia="宋体"/>
      <w:b/>
      <w:kern w:val="28"/>
      <w:lang w:eastAsia="en-US"/>
    </w:rPr>
  </w:style>
  <w:style w:type="paragraph" w:customStyle="1" w:styleId="88">
    <w:name w:val="本文档标题二"/>
    <w:basedOn w:val="3"/>
    <w:qFormat/>
    <w:uiPriority w:val="0"/>
    <w:pPr>
      <w:keepNext w:val="0"/>
      <w:keepLines w:val="0"/>
      <w:spacing w:before="0" w:after="0" w:line="360" w:lineRule="auto"/>
      <w:jc w:val="left"/>
    </w:pPr>
    <w:rPr>
      <w:rFonts w:eastAsia="宋体"/>
      <w:bCs w:val="0"/>
      <w:sz w:val="21"/>
      <w:szCs w:val="21"/>
      <w:lang w:eastAsia="en-US"/>
    </w:rPr>
  </w:style>
  <w:style w:type="paragraph" w:customStyle="1" w:styleId="89">
    <w:name w:val="+正文"/>
    <w:basedOn w:val="1"/>
    <w:qFormat/>
    <w:uiPriority w:val="99"/>
    <w:pPr>
      <w:widowControl/>
      <w:spacing w:line="360" w:lineRule="auto"/>
      <w:ind w:firstLine="200" w:firstLineChars="200"/>
      <w:jc w:val="left"/>
    </w:pPr>
    <w:rPr>
      <w:rFonts w:ascii="Calibri" w:hAnsi="Calibri"/>
      <w:kern w:val="0"/>
      <w:sz w:val="24"/>
      <w:szCs w:val="28"/>
      <w:lang w:eastAsia="en-US"/>
    </w:rPr>
  </w:style>
  <w:style w:type="paragraph" w:customStyle="1" w:styleId="90">
    <w:name w:val="正文段"/>
    <w:basedOn w:val="1"/>
    <w:qFormat/>
    <w:uiPriority w:val="0"/>
    <w:pPr>
      <w:widowControl/>
      <w:snapToGrid w:val="0"/>
      <w:spacing w:after="240" w:line="240" w:lineRule="atLeast"/>
      <w:ind w:firstLine="425"/>
    </w:pPr>
    <w:rPr>
      <w:kern w:val="0"/>
      <w:sz w:val="24"/>
      <w:szCs w:val="24"/>
    </w:rPr>
  </w:style>
  <w:style w:type="paragraph" w:customStyle="1" w:styleId="91">
    <w:name w:val="CM16"/>
    <w:basedOn w:val="1"/>
    <w:next w:val="1"/>
    <w:qFormat/>
    <w:uiPriority w:val="0"/>
    <w:pPr>
      <w:spacing w:line="231" w:lineRule="atLeast"/>
    </w:pPr>
    <w:rPr>
      <w:rFonts w:ascii="Arial" w:hAnsi="Arial" w:cs="Arial"/>
      <w:sz w:val="24"/>
      <w:szCs w:val="24"/>
    </w:rPr>
  </w:style>
  <w:style w:type="paragraph" w:customStyle="1" w:styleId="92">
    <w:name w:val="样式 宋体 小四 行距: 1.5 倍行距 首行缩进:  2.25 字符"/>
    <w:basedOn w:val="1"/>
    <w:qFormat/>
    <w:uiPriority w:val="0"/>
    <w:pPr>
      <w:spacing w:line="288" w:lineRule="auto"/>
      <w:ind w:firstLine="225" w:firstLineChars="225"/>
    </w:pPr>
    <w:rPr>
      <w:rFonts w:ascii="宋体" w:hAnsi="宋体" w:eastAsia="华文中宋" w:cs="宋体"/>
      <w:sz w:val="24"/>
    </w:rPr>
  </w:style>
  <w:style w:type="paragraph" w:customStyle="1" w:styleId="93">
    <w:name w:val="正文00"/>
    <w:basedOn w:val="1"/>
    <w:qFormat/>
    <w:uiPriority w:val="0"/>
    <w:pPr>
      <w:widowControl/>
      <w:topLinePunct/>
      <w:spacing w:line="360" w:lineRule="auto"/>
      <w:ind w:firstLine="200" w:firstLineChars="200"/>
      <w:jc w:val="left"/>
    </w:pPr>
    <w:rPr>
      <w:sz w:val="24"/>
      <w:szCs w:val="21"/>
    </w:rPr>
  </w:style>
  <w:style w:type="paragraph" w:customStyle="1" w:styleId="94">
    <w:name w:val="样式 标题 3 + (中文) 黑体 小四 非加粗 段前: 7.8 磅 段后: 0 磅 行距: 固定值 20 磅"/>
    <w:basedOn w:val="4"/>
    <w:next w:val="24"/>
    <w:qFormat/>
    <w:uiPriority w:val="99"/>
    <w:pPr>
      <w:keepLines w:val="0"/>
      <w:widowControl/>
      <w:spacing w:before="0" w:after="60" w:line="400" w:lineRule="exact"/>
      <w:jc w:val="left"/>
    </w:pPr>
    <w:rPr>
      <w:rFonts w:ascii="Cambria" w:hAnsi="Cambria" w:eastAsia="黑体"/>
      <w:bCs/>
      <w:kern w:val="0"/>
      <w:sz w:val="24"/>
      <w:szCs w:val="24"/>
    </w:rPr>
  </w:style>
  <w:style w:type="paragraph" w:customStyle="1" w:styleId="95">
    <w:name w:val="[Normal]"/>
    <w:qFormat/>
    <w:uiPriority w:val="0"/>
    <w:pPr>
      <w:widowControl w:val="0"/>
    </w:pPr>
    <w:rPr>
      <w:rFonts w:ascii="宋体" w:hAnsi="宋体" w:eastAsia="宋体" w:cs="Times New Roman"/>
      <w:sz w:val="24"/>
      <w:szCs w:val="24"/>
      <w:lang w:val="en-US" w:eastAsia="zh-CN" w:bidi="ar-SA"/>
    </w:rPr>
  </w:style>
  <w:style w:type="paragraph" w:customStyle="1" w:styleId="96">
    <w:name w:val="附表图纸二级目录"/>
    <w:qFormat/>
    <w:uiPriority w:val="0"/>
    <w:pPr>
      <w:spacing w:line="400" w:lineRule="exact"/>
      <w:ind w:firstLine="100" w:firstLineChars="100"/>
    </w:pPr>
    <w:rPr>
      <w:rFonts w:ascii="Arial Unicode MS" w:hAnsi="Arial Unicode MS" w:eastAsia="宋体" w:cs="Times New Roman"/>
      <w:sz w:val="24"/>
      <w:lang w:val="en-US" w:eastAsia="zh-CN" w:bidi="ar-SA"/>
    </w:rPr>
  </w:style>
  <w:style w:type="paragraph" w:customStyle="1" w:styleId="97">
    <w:name w:val="特发项目标题一"/>
    <w:basedOn w:val="1"/>
    <w:qFormat/>
    <w:uiPriority w:val="0"/>
    <w:pPr>
      <w:numPr>
        <w:ilvl w:val="0"/>
        <w:numId w:val="5"/>
      </w:numPr>
      <w:adjustRightInd w:val="0"/>
      <w:snapToGrid w:val="0"/>
      <w:spacing w:before="260" w:after="260" w:line="360" w:lineRule="auto"/>
      <w:jc w:val="left"/>
      <w:outlineLvl w:val="0"/>
    </w:pPr>
    <w:rPr>
      <w:rFonts w:ascii="黑体"/>
      <w:b/>
      <w:sz w:val="24"/>
      <w:szCs w:val="30"/>
    </w:rPr>
  </w:style>
  <w:style w:type="paragraph" w:customStyle="1" w:styleId="98">
    <w:name w:val="正文 1"/>
    <w:basedOn w:val="1"/>
    <w:qFormat/>
    <w:uiPriority w:val="0"/>
    <w:pPr>
      <w:widowControl/>
      <w:snapToGrid w:val="0"/>
      <w:spacing w:before="30" w:after="30" w:line="300" w:lineRule="auto"/>
      <w:ind w:left="680"/>
    </w:pPr>
    <w:rPr>
      <w:rFonts w:ascii="宋体" w:hAnsi="宋体"/>
      <w:sz w:val="18"/>
      <w:lang w:val="zh-CN"/>
    </w:rPr>
  </w:style>
  <w:style w:type="paragraph" w:customStyle="1" w:styleId="99">
    <w:name w:val="缺省文本"/>
    <w:basedOn w:val="1"/>
    <w:qFormat/>
    <w:uiPriority w:val="0"/>
    <w:pPr>
      <w:autoSpaceDE w:val="0"/>
      <w:autoSpaceDN w:val="0"/>
      <w:adjustRightInd w:val="0"/>
      <w:jc w:val="left"/>
    </w:pPr>
    <w:rPr>
      <w:kern w:val="0"/>
      <w:sz w:val="24"/>
    </w:rPr>
  </w:style>
  <w:style w:type="paragraph" w:customStyle="1" w:styleId="100">
    <w:name w:val="Blockquote"/>
    <w:basedOn w:val="1"/>
    <w:qFormat/>
    <w:uiPriority w:val="0"/>
    <w:pPr>
      <w:widowControl/>
      <w:ind w:left="360" w:right="360"/>
      <w:jc w:val="left"/>
    </w:pPr>
    <w:rPr>
      <w:rFonts w:ascii="Calibri" w:hAnsi="Calibri"/>
      <w:kern w:val="0"/>
      <w:sz w:val="24"/>
      <w:szCs w:val="24"/>
      <w:lang w:eastAsia="en-US"/>
    </w:rPr>
  </w:style>
  <w:style w:type="paragraph" w:customStyle="1" w:styleId="101">
    <w:name w:val="封面"/>
    <w:qFormat/>
    <w:uiPriority w:val="0"/>
    <w:pPr>
      <w:spacing w:line="760" w:lineRule="exact"/>
      <w:jc w:val="center"/>
    </w:pPr>
    <w:rPr>
      <w:rFonts w:ascii="黑体" w:hAnsi="Times New Roman" w:eastAsia="黑体" w:cs="Times New Roman"/>
      <w:b/>
      <w:sz w:val="36"/>
      <w:lang w:val="en-US" w:eastAsia="zh-CN" w:bidi="ar-SA"/>
    </w:rPr>
  </w:style>
  <w:style w:type="paragraph" w:customStyle="1" w:styleId="102">
    <w:name w:val="NormalParagraphStyle"/>
    <w:basedOn w:val="1"/>
    <w:qFormat/>
    <w:uiPriority w:val="0"/>
    <w:pPr>
      <w:autoSpaceDE w:val="0"/>
      <w:autoSpaceDN w:val="0"/>
      <w:adjustRightInd w:val="0"/>
      <w:spacing w:line="288" w:lineRule="auto"/>
      <w:textAlignment w:val="center"/>
    </w:pPr>
    <w:rPr>
      <w:rFonts w:ascii="宋体" w:cs="宋体"/>
      <w:color w:val="000000"/>
      <w:kern w:val="0"/>
      <w:sz w:val="24"/>
      <w:szCs w:val="24"/>
      <w:lang w:val="zh-CN"/>
    </w:rPr>
  </w:style>
  <w:style w:type="paragraph" w:customStyle="1" w:styleId="103">
    <w:name w:val="样式 宋体 小四 首行缩进:  0.93 厘米 段前: 11.15 磅 段后: 11.15 磅1"/>
    <w:basedOn w:val="1"/>
    <w:qFormat/>
    <w:uiPriority w:val="0"/>
    <w:pPr>
      <w:widowControl/>
      <w:adjustRightInd w:val="0"/>
      <w:snapToGrid w:val="0"/>
      <w:ind w:left="200" w:leftChars="200"/>
      <w:jc w:val="left"/>
    </w:pPr>
    <w:rPr>
      <w:rFonts w:ascii="宋体" w:hAnsi="Calibri" w:cs="宋体"/>
      <w:kern w:val="0"/>
      <w:sz w:val="24"/>
      <w:lang w:eastAsia="en-US"/>
    </w:rPr>
  </w:style>
  <w:style w:type="paragraph" w:customStyle="1" w:styleId="10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05">
    <w:name w:val="Numbered Heading Style A.4"/>
    <w:basedOn w:val="5"/>
    <w:next w:val="1"/>
    <w:uiPriority w:val="0"/>
    <w:pPr>
      <w:keepLines w:val="0"/>
      <w:widowControl/>
      <w:numPr>
        <w:ilvl w:val="3"/>
        <w:numId w:val="3"/>
      </w:numPr>
      <w:tabs>
        <w:tab w:val="left" w:pos="360"/>
        <w:tab w:val="left" w:pos="1080"/>
        <w:tab w:val="left" w:pos="1440"/>
        <w:tab w:val="left" w:pos="1800"/>
      </w:tabs>
      <w:spacing w:before="240" w:after="60" w:line="240" w:lineRule="auto"/>
      <w:ind w:left="0" w:firstLine="454"/>
      <w:jc w:val="left"/>
    </w:pPr>
    <w:rPr>
      <w:rFonts w:ascii="Arial" w:hAnsi="Arial"/>
      <w:bCs w:val="0"/>
      <w:kern w:val="0"/>
      <w:sz w:val="20"/>
      <w:szCs w:val="20"/>
      <w:lang w:eastAsia="en-US"/>
    </w:rPr>
  </w:style>
  <w:style w:type="paragraph" w:customStyle="1" w:styleId="106">
    <w:name w:val="_Style 105"/>
    <w:basedOn w:val="2"/>
    <w:next w:val="1"/>
    <w:qFormat/>
    <w:uiPriority w:val="39"/>
    <w:pPr>
      <w:keepLines/>
      <w:widowControl/>
      <w:spacing w:before="240" w:line="259" w:lineRule="auto"/>
      <w:jc w:val="left"/>
      <w:outlineLvl w:val="9"/>
    </w:pPr>
    <w:rPr>
      <w:rFonts w:ascii="等线 Light" w:hAnsi="等线 Light" w:eastAsia="等线 Light"/>
      <w:color w:val="2F5496"/>
      <w:kern w:val="0"/>
      <w:sz w:val="32"/>
      <w:szCs w:val="32"/>
    </w:rPr>
  </w:style>
  <w:style w:type="paragraph" w:customStyle="1" w:styleId="107">
    <w:name w:val="_Style 106"/>
    <w:hidden/>
    <w:unhideWhenUsed/>
    <w:uiPriority w:val="99"/>
    <w:rPr>
      <w:rFonts w:ascii="Calibri" w:hAnsi="Calibri" w:eastAsia="宋体" w:cs="黑体"/>
      <w:kern w:val="2"/>
      <w:sz w:val="21"/>
      <w:szCs w:val="22"/>
      <w:lang w:val="en-US" w:eastAsia="zh-CN" w:bidi="ar-SA"/>
    </w:rPr>
  </w:style>
  <w:style w:type="character" w:customStyle="1" w:styleId="108">
    <w:name w:val="标题 1 字符"/>
    <w:link w:val="2"/>
    <w:uiPriority w:val="9"/>
    <w:rPr>
      <w:rFonts w:ascii="仿宋_GB2312" w:eastAsia="仿宋_GB2312"/>
      <w:sz w:val="28"/>
    </w:rPr>
  </w:style>
  <w:style w:type="character" w:customStyle="1" w:styleId="109">
    <w:name w:val="标题 2 字符"/>
    <w:link w:val="3"/>
    <w:uiPriority w:val="0"/>
    <w:rPr>
      <w:rFonts w:ascii="Arial" w:hAnsi="Arial" w:eastAsia="黑体"/>
      <w:b/>
      <w:bCs/>
      <w:sz w:val="32"/>
      <w:szCs w:val="32"/>
    </w:rPr>
  </w:style>
  <w:style w:type="character" w:customStyle="1" w:styleId="110">
    <w:name w:val="批注框文本 字符"/>
    <w:link w:val="24"/>
    <w:uiPriority w:val="0"/>
    <w:rPr>
      <w:kern w:val="2"/>
      <w:sz w:val="18"/>
      <w:szCs w:val="18"/>
    </w:rPr>
  </w:style>
  <w:style w:type="character" w:customStyle="1" w:styleId="111">
    <w:name w:val="font21"/>
    <w:uiPriority w:val="0"/>
    <w:rPr>
      <w:rFonts w:hint="eastAsia" w:ascii="宋体" w:hAnsi="宋体" w:eastAsia="宋体" w:cs="宋体"/>
      <w:color w:val="000000"/>
      <w:sz w:val="22"/>
      <w:szCs w:val="22"/>
      <w:u w:val="none"/>
    </w:rPr>
  </w:style>
  <w:style w:type="character" w:customStyle="1" w:styleId="112">
    <w:name w:val="font61"/>
    <w:uiPriority w:val="0"/>
    <w:rPr>
      <w:rFonts w:hint="eastAsia" w:ascii="宋体" w:hAnsi="宋体" w:eastAsia="宋体" w:cs="宋体"/>
      <w:color w:val="FF0000"/>
      <w:sz w:val="22"/>
      <w:szCs w:val="22"/>
      <w:u w:val="none"/>
    </w:rPr>
  </w:style>
  <w:style w:type="character" w:customStyle="1" w:styleId="113">
    <w:name w:val="文档正文 Char Char"/>
    <w:link w:val="7"/>
    <w:qFormat/>
    <w:uiPriority w:val="0"/>
    <w:rPr>
      <w:rFonts w:ascii="长城仿宋"/>
      <w:sz w:val="24"/>
      <w:lang w:val="zh-CN"/>
    </w:rPr>
  </w:style>
  <w:style w:type="character" w:customStyle="1" w:styleId="114">
    <w:name w:val="表格内容 Char"/>
    <w:qFormat/>
    <w:uiPriority w:val="0"/>
    <w:rPr>
      <w:rFonts w:eastAsia="仿宋_GB2312"/>
      <w:sz w:val="24"/>
      <w:lang w:val="en-US" w:eastAsia="zh-CN" w:bidi="ar-SA"/>
    </w:rPr>
  </w:style>
  <w:style w:type="character" w:customStyle="1" w:styleId="115">
    <w:name w:val="文档正文 Char"/>
    <w:uiPriority w:val="0"/>
    <w:rPr>
      <w:spacing w:val="4"/>
      <w:sz w:val="24"/>
    </w:rPr>
  </w:style>
  <w:style w:type="character" w:customStyle="1" w:styleId="116">
    <w:name w:val="粘贴正文 Char"/>
    <w:link w:val="61"/>
    <w:qFormat/>
    <w:uiPriority w:val="0"/>
    <w:rPr>
      <w:rFonts w:ascii="Times New Roman" w:hAnsi="Times New Roman"/>
      <w:kern w:val="2"/>
      <w:sz w:val="24"/>
      <w:szCs w:val="21"/>
      <w:lang w:bidi="ar-SA"/>
    </w:rPr>
  </w:style>
  <w:style w:type="character" w:customStyle="1" w:styleId="117">
    <w:name w:val="标题 4 字符"/>
    <w:link w:val="5"/>
    <w:uiPriority w:val="0"/>
    <w:rPr>
      <w:rFonts w:ascii="Calibri Light" w:hAnsi="Calibri Light"/>
      <w:b/>
      <w:bCs/>
      <w:kern w:val="2"/>
      <w:sz w:val="28"/>
      <w:szCs w:val="28"/>
    </w:rPr>
  </w:style>
  <w:style w:type="character" w:customStyle="1" w:styleId="118">
    <w:name w:val="标题 5 字符"/>
    <w:link w:val="6"/>
    <w:uiPriority w:val="0"/>
    <w:rPr>
      <w:rFonts w:ascii="Arial" w:hAnsi="Arial"/>
      <w:sz w:val="24"/>
      <w:szCs w:val="24"/>
    </w:rPr>
  </w:style>
  <w:style w:type="character" w:customStyle="1" w:styleId="119">
    <w:name w:val="标题 6 字符"/>
    <w:link w:val="8"/>
    <w:qFormat/>
    <w:uiPriority w:val="0"/>
    <w:rPr>
      <w:rFonts w:ascii="Calibri Light" w:hAnsi="Calibri Light"/>
      <w:b/>
      <w:bCs/>
      <w:kern w:val="2"/>
      <w:sz w:val="24"/>
      <w:szCs w:val="24"/>
    </w:rPr>
  </w:style>
  <w:style w:type="character" w:customStyle="1" w:styleId="120">
    <w:name w:val="标题 7 字符"/>
    <w:link w:val="9"/>
    <w:qFormat/>
    <w:uiPriority w:val="0"/>
    <w:rPr>
      <w:rFonts w:ascii="Arial" w:hAnsi="Arial"/>
      <w:sz w:val="24"/>
      <w:szCs w:val="24"/>
    </w:rPr>
  </w:style>
  <w:style w:type="character" w:customStyle="1" w:styleId="121">
    <w:name w:val="标题 8 字符"/>
    <w:link w:val="10"/>
    <w:uiPriority w:val="0"/>
    <w:rPr>
      <w:rFonts w:ascii="Arial" w:hAnsi="Arial"/>
      <w:sz w:val="24"/>
      <w:szCs w:val="24"/>
    </w:rPr>
  </w:style>
  <w:style w:type="character" w:customStyle="1" w:styleId="122">
    <w:name w:val="标题 9 字符"/>
    <w:link w:val="11"/>
    <w:uiPriority w:val="0"/>
    <w:rPr>
      <w:rFonts w:ascii="Arial" w:hAnsi="Arial" w:eastAsia="黑体"/>
      <w:sz w:val="21"/>
    </w:rPr>
  </w:style>
  <w:style w:type="character" w:customStyle="1" w:styleId="123">
    <w:name w:val="标题 3 字符"/>
    <w:link w:val="4"/>
    <w:uiPriority w:val="0"/>
    <w:rPr>
      <w:b/>
      <w:kern w:val="2"/>
      <w:sz w:val="32"/>
    </w:rPr>
  </w:style>
  <w:style w:type="character" w:customStyle="1" w:styleId="124">
    <w:name w:val="正文缩进 字符"/>
    <w:link w:val="14"/>
    <w:uiPriority w:val="0"/>
    <w:rPr>
      <w:rFonts w:ascii="BIAODIAN" w:hAnsi="BIAODIAN" w:eastAsia="彩虹粗仿宋"/>
      <w:sz w:val="28"/>
    </w:rPr>
  </w:style>
  <w:style w:type="character" w:customStyle="1" w:styleId="125">
    <w:name w:val="文档结构图 字符"/>
    <w:link w:val="15"/>
    <w:uiPriority w:val="0"/>
    <w:rPr>
      <w:sz w:val="24"/>
      <w:shd w:val="clear" w:color="auto" w:fill="000080"/>
    </w:rPr>
  </w:style>
  <w:style w:type="character" w:customStyle="1" w:styleId="126">
    <w:name w:val="批注文字 字符1"/>
    <w:uiPriority w:val="0"/>
    <w:rPr>
      <w:kern w:val="2"/>
      <w:sz w:val="21"/>
      <w:szCs w:val="24"/>
    </w:rPr>
  </w:style>
  <w:style w:type="character" w:customStyle="1" w:styleId="127">
    <w:name w:val="正文文本 字符"/>
    <w:uiPriority w:val="0"/>
    <w:rPr>
      <w:kern w:val="2"/>
      <w:sz w:val="21"/>
    </w:rPr>
  </w:style>
  <w:style w:type="character" w:customStyle="1" w:styleId="128">
    <w:name w:val="纯文本 字符"/>
    <w:link w:val="21"/>
    <w:uiPriority w:val="0"/>
    <w:rPr>
      <w:rFonts w:ascii="宋体" w:hAnsi="Courier New"/>
      <w:kern w:val="2"/>
      <w:sz w:val="21"/>
    </w:rPr>
  </w:style>
  <w:style w:type="character" w:customStyle="1" w:styleId="129">
    <w:name w:val="日期 字符"/>
    <w:link w:val="23"/>
    <w:uiPriority w:val="0"/>
    <w:rPr>
      <w:rFonts w:eastAsia="楷体_GB2312"/>
      <w:kern w:val="2"/>
      <w:sz w:val="21"/>
    </w:rPr>
  </w:style>
  <w:style w:type="character" w:customStyle="1" w:styleId="130">
    <w:name w:val="页脚 字符"/>
    <w:link w:val="25"/>
    <w:uiPriority w:val="99"/>
    <w:rPr>
      <w:kern w:val="2"/>
      <w:sz w:val="18"/>
    </w:rPr>
  </w:style>
  <w:style w:type="character" w:customStyle="1" w:styleId="131">
    <w:name w:val="页眉 字符"/>
    <w:link w:val="26"/>
    <w:uiPriority w:val="0"/>
    <w:rPr>
      <w:kern w:val="2"/>
      <w:sz w:val="18"/>
    </w:rPr>
  </w:style>
  <w:style w:type="character" w:customStyle="1" w:styleId="132">
    <w:name w:val="副标题 字符"/>
    <w:link w:val="29"/>
    <w:uiPriority w:val="0"/>
    <w:rPr>
      <w:rFonts w:ascii="Arial" w:hAnsi="Arial" w:cs="Arial"/>
      <w:b/>
      <w:bCs/>
      <w:kern w:val="28"/>
      <w:sz w:val="32"/>
      <w:szCs w:val="32"/>
    </w:rPr>
  </w:style>
  <w:style w:type="character" w:customStyle="1" w:styleId="133">
    <w:name w:val="正文文本缩进 3 字符"/>
    <w:link w:val="31"/>
    <w:uiPriority w:val="0"/>
    <w:rPr>
      <w:sz w:val="16"/>
      <w:szCs w:val="16"/>
      <w:lang w:val="zh-CN"/>
    </w:rPr>
  </w:style>
  <w:style w:type="character" w:customStyle="1" w:styleId="134">
    <w:name w:val="标题 字符"/>
    <w:link w:val="35"/>
    <w:uiPriority w:val="0"/>
    <w:rPr>
      <w:rFonts w:ascii="Cambria" w:hAnsi="Cambria"/>
      <w:b/>
      <w:bCs/>
      <w:kern w:val="2"/>
      <w:sz w:val="32"/>
      <w:szCs w:val="32"/>
    </w:rPr>
  </w:style>
  <w:style w:type="character" w:customStyle="1" w:styleId="135">
    <w:name w:val="批注文字 字符"/>
    <w:link w:val="16"/>
    <w:uiPriority w:val="0"/>
    <w:rPr>
      <w:kern w:val="2"/>
      <w:sz w:val="21"/>
    </w:rPr>
  </w:style>
  <w:style w:type="character" w:customStyle="1" w:styleId="136">
    <w:name w:val="批注主题 字符"/>
    <w:uiPriority w:val="0"/>
    <w:rPr>
      <w:b/>
      <w:bCs/>
      <w:kern w:val="2"/>
      <w:sz w:val="21"/>
    </w:rPr>
  </w:style>
  <w:style w:type="character" w:customStyle="1" w:styleId="137">
    <w:name w:val="批注主题 字符1"/>
    <w:link w:val="36"/>
    <w:uiPriority w:val="0"/>
    <w:rPr>
      <w:b/>
      <w:bCs/>
      <w:kern w:val="2"/>
      <w:sz w:val="21"/>
      <w:szCs w:val="24"/>
    </w:rPr>
  </w:style>
  <w:style w:type="character" w:customStyle="1" w:styleId="138">
    <w:name w:val="正文文本 字符1"/>
    <w:link w:val="17"/>
    <w:uiPriority w:val="0"/>
    <w:rPr>
      <w:rFonts w:ascii="宋体" w:eastAsia="楷体_GB2312"/>
      <w:b/>
      <w:kern w:val="2"/>
      <w:sz w:val="72"/>
    </w:rPr>
  </w:style>
  <w:style w:type="character" w:customStyle="1" w:styleId="139">
    <w:name w:val="正文文本首行缩进 字符"/>
    <w:link w:val="37"/>
    <w:uiPriority w:val="99"/>
    <w:rPr>
      <w:rFonts w:ascii="宋体" w:eastAsia="楷体_GB2312"/>
      <w:kern w:val="2"/>
      <w:sz w:val="21"/>
      <w:szCs w:val="24"/>
    </w:rPr>
  </w:style>
  <w:style w:type="character" w:customStyle="1" w:styleId="140">
    <w:name w:val="font91"/>
    <w:uiPriority w:val="0"/>
    <w:rPr>
      <w:rFonts w:hint="eastAsia" w:ascii="宋体" w:hAnsi="宋体" w:eastAsia="宋体" w:cs="宋体"/>
      <w:b/>
      <w:color w:val="000000"/>
      <w:sz w:val="24"/>
      <w:szCs w:val="24"/>
      <w:u w:val="single"/>
    </w:rPr>
  </w:style>
  <w:style w:type="character" w:customStyle="1" w:styleId="141">
    <w:name w:val="font51"/>
    <w:uiPriority w:val="0"/>
    <w:rPr>
      <w:rFonts w:hint="eastAsia" w:ascii="楷体_GB2312" w:eastAsia="楷体_GB2312" w:cs="楷体_GB2312"/>
      <w:color w:val="000000"/>
      <w:sz w:val="21"/>
      <w:szCs w:val="21"/>
      <w:u w:val="none"/>
    </w:rPr>
  </w:style>
  <w:style w:type="character" w:customStyle="1" w:styleId="142">
    <w:name w:val="font71"/>
    <w:uiPriority w:val="0"/>
    <w:rPr>
      <w:rFonts w:hint="eastAsia" w:ascii="楷体_GB2312" w:eastAsia="楷体_GB2312" w:cs="楷体_GB2312"/>
      <w:color w:val="000000"/>
      <w:sz w:val="21"/>
      <w:szCs w:val="21"/>
      <w:u w:val="none"/>
    </w:rPr>
  </w:style>
  <w:style w:type="character" w:customStyle="1" w:styleId="143">
    <w:name w:val="默认段落字体1"/>
    <w:uiPriority w:val="0"/>
  </w:style>
  <w:style w:type="character" w:customStyle="1" w:styleId="144">
    <w:name w:val="列表段落 字符"/>
    <w:link w:val="52"/>
    <w:qFormat/>
    <w:uiPriority w:val="34"/>
    <w:rPr>
      <w:rFonts w:ascii="Calibri" w:hAnsi="Calibri" w:cs="宋体"/>
      <w:sz w:val="21"/>
      <w:szCs w:val="21"/>
    </w:rPr>
  </w:style>
  <w:style w:type="character" w:customStyle="1" w:styleId="145">
    <w:name w:val="标题 2 字符1"/>
    <w:qFormat/>
    <w:uiPriority w:val="0"/>
    <w:rPr>
      <w:rFonts w:ascii="宋体" w:hAnsi="宋体"/>
      <w:szCs w:val="44"/>
      <w:lang w:eastAsia="en-US"/>
    </w:rPr>
  </w:style>
  <w:style w:type="character" w:customStyle="1" w:styleId="146">
    <w:name w:val="页脚 字符1"/>
    <w:uiPriority w:val="99"/>
    <w:rPr>
      <w:sz w:val="18"/>
      <w:szCs w:val="18"/>
    </w:rPr>
  </w:style>
  <w:style w:type="character" w:customStyle="1" w:styleId="147">
    <w:name w:val="页眉 字符1"/>
    <w:qFormat/>
    <w:uiPriority w:val="0"/>
    <w:rPr>
      <w:sz w:val="18"/>
      <w:szCs w:val="18"/>
    </w:rPr>
  </w:style>
  <w:style w:type="character" w:customStyle="1" w:styleId="148">
    <w:name w:val="subaccno"/>
    <w:uiPriority w:val="0"/>
  </w:style>
  <w:style w:type="character" w:customStyle="1" w:styleId="149">
    <w:name w:val="封面黑体内容 Char"/>
    <w:link w:val="60"/>
    <w:semiHidden/>
    <w:uiPriority w:val="0"/>
    <w:rPr>
      <w:rFonts w:ascii="黑体" w:eastAsia="黑体"/>
      <w:sz w:val="32"/>
      <w:szCs w:val="32"/>
    </w:rPr>
  </w:style>
  <w:style w:type="character" w:customStyle="1" w:styleId="150">
    <w:name w:val="info"/>
    <w:qFormat/>
    <w:uiPriority w:val="0"/>
  </w:style>
  <w:style w:type="character" w:customStyle="1" w:styleId="151">
    <w:name w:val="表头 Char2"/>
    <w:link w:val="62"/>
    <w:uiPriority w:val="0"/>
    <w:rPr>
      <w:spacing w:val="4"/>
      <w:sz w:val="24"/>
      <w:lang w:val="zh-CN"/>
    </w:rPr>
  </w:style>
  <w:style w:type="character" w:customStyle="1" w:styleId="152">
    <w:name w:val="JS标题2 字符"/>
    <w:link w:val="63"/>
    <w:uiPriority w:val="0"/>
    <w:rPr>
      <w:rFonts w:ascii="Cambria" w:hAnsi="Cambria"/>
      <w:b/>
      <w:bCs/>
      <w:sz w:val="28"/>
      <w:szCs w:val="28"/>
    </w:rPr>
  </w:style>
  <w:style w:type="character" w:customStyle="1" w:styleId="153">
    <w:name w:val="标题二自建"/>
    <w:qFormat/>
    <w:uiPriority w:val="1"/>
    <w:rPr>
      <w:rFonts w:ascii="宋体" w:hAnsi="Arial" w:eastAsia="宋体"/>
      <w:color w:val="auto"/>
      <w:sz w:val="21"/>
      <w:szCs w:val="21"/>
    </w:rPr>
  </w:style>
  <w:style w:type="character" w:customStyle="1" w:styleId="154">
    <w:name w:val="样式2正文 Char Char Char Char Char Char Char Char Char Char"/>
    <w:link w:val="64"/>
    <w:uiPriority w:val="0"/>
    <w:rPr>
      <w:rFonts w:ascii="Book Antiqua" w:hAnsi="Book Antiqua"/>
      <w:sz w:val="24"/>
      <w:szCs w:val="24"/>
      <w:lang w:val="zh-CN"/>
    </w:rPr>
  </w:style>
  <w:style w:type="character" w:customStyle="1" w:styleId="155">
    <w:name w:val="未处理的提及1"/>
    <w:unhideWhenUsed/>
    <w:uiPriority w:val="99"/>
    <w:rPr>
      <w:color w:val="605E5C"/>
      <w:shd w:val="clear" w:color="auto" w:fill="E1DFDD"/>
    </w:rPr>
  </w:style>
  <w:style w:type="character" w:customStyle="1" w:styleId="156">
    <w:name w:val="_Style 155"/>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3065</Words>
  <Characters>17477</Characters>
  <Lines>145</Lines>
  <Paragraphs>41</Paragraphs>
  <TotalTime>43</TotalTime>
  <ScaleCrop>false</ScaleCrop>
  <LinksUpToDate>false</LinksUpToDate>
  <CharactersWithSpaces>20501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2022-06-30T10:03:00Z</dcterms:created>
  <dc:creator>Arthas</dc:creator>
  <cp:lastModifiedBy>hyg</cp:lastModifiedBy>
  <dcterms:modified xsi:type="dcterms:W3CDTF">2022-07-07T01:05:48Z</dcterms:modified>
  <dc:title>常 熟 农 商 银 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A3A7CD33089B48E38F1F8B9FB371CF6A</vt:lpwstr>
  </property>
</Properties>
</file>