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江苏常熟农村商业银行股份有限公司</w:t>
      </w:r>
    </w:p>
    <w:p>
      <w:pPr>
        <w:tabs>
          <w:tab w:val="left" w:pos="8280"/>
        </w:tabs>
        <w:spacing w:line="480" w:lineRule="auto"/>
        <w:rPr>
          <w:rFonts w:hint="eastAsia" w:ascii="仿宋_GB2312" w:hAnsi="仿宋_GB2312" w:eastAsia="仿宋_GB2312" w:cs="仿宋_GB2312"/>
          <w:b/>
          <w:color w:val="000000"/>
          <w:sz w:val="28"/>
          <w:szCs w:val="28"/>
          <w:lang w:val="en-US"/>
        </w:rPr>
      </w:pPr>
      <w:r>
        <w:rPr>
          <w:rFonts w:hint="eastAsia" w:ascii="仿宋_GB2312" w:hAnsi="仿宋_GB2312" w:eastAsia="仿宋_GB2312" w:cs="仿宋_GB2312"/>
          <w:b/>
          <w:color w:val="000000"/>
          <w:sz w:val="28"/>
          <w:szCs w:val="28"/>
        </w:rPr>
        <w:t>招标编号：</w:t>
      </w:r>
      <w:r>
        <w:rPr>
          <w:rFonts w:hint="eastAsia" w:ascii="仿宋_GB2312" w:hAnsi="仿宋_GB2312" w:eastAsia="仿宋_GB2312" w:cs="仿宋_GB2312"/>
          <w:b/>
          <w:color w:val="000000"/>
          <w:sz w:val="28"/>
          <w:szCs w:val="28"/>
          <w:lang w:val="en-US"/>
        </w:rPr>
        <w:t>20220060</w:t>
      </w:r>
    </w:p>
    <w:p>
      <w:pPr>
        <w:tabs>
          <w:tab w:val="left" w:pos="8280"/>
        </w:tabs>
        <w:spacing w:line="480" w:lineRule="auto"/>
        <w:rPr>
          <w:rFonts w:hint="eastAsia" w:ascii="仿宋_GB2312" w:hAnsi="仿宋_GB2312" w:eastAsia="仿宋_GB2312" w:cs="仿宋_GB2312"/>
          <w:b/>
          <w:color w:val="000000"/>
          <w:sz w:val="28"/>
        </w:rPr>
      </w:pPr>
    </w:p>
    <w:p>
      <w:pPr>
        <w:tabs>
          <w:tab w:val="left" w:pos="8280"/>
        </w:tabs>
        <w:spacing w:line="480" w:lineRule="auto"/>
        <w:rPr>
          <w:rFonts w:hint="eastAsia" w:ascii="仿宋_GB2312" w:hAnsi="仿宋_GB2312" w:eastAsia="仿宋_GB2312" w:cs="仿宋_GB2312"/>
          <w:b/>
          <w:color w:val="000000"/>
          <w:sz w:val="28"/>
        </w:rPr>
      </w:pPr>
    </w:p>
    <w:p>
      <w:pPr>
        <w:tabs>
          <w:tab w:val="left" w:pos="8280"/>
        </w:tabs>
        <w:spacing w:line="480" w:lineRule="auto"/>
        <w:rPr>
          <w:rFonts w:hint="eastAsia" w:ascii="仿宋_GB2312" w:hAnsi="仿宋_GB2312" w:eastAsia="仿宋_GB2312" w:cs="仿宋_GB2312"/>
          <w:b/>
          <w:color w:val="000000"/>
          <w:sz w:val="28"/>
        </w:rPr>
      </w:pPr>
    </w:p>
    <w:p>
      <w:pPr>
        <w:tabs>
          <w:tab w:val="left" w:pos="8280"/>
        </w:tabs>
        <w:spacing w:line="480" w:lineRule="auto"/>
        <w:rPr>
          <w:rFonts w:hint="eastAsia" w:ascii="仿宋_GB2312" w:hAnsi="仿宋_GB2312" w:eastAsia="仿宋_GB2312" w:cs="仿宋_GB2312"/>
          <w:b/>
          <w:color w:val="000000"/>
          <w:sz w:val="28"/>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招标书</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ind w:firstLine="624"/>
        <w:jc w:val="center"/>
        <w:rPr>
          <w:rFonts w:hint="eastAsia" w:ascii="仿宋_GB2312" w:hAnsi="仿宋_GB2312" w:eastAsia="仿宋_GB2312" w:cs="仿宋_GB2312"/>
          <w:b/>
          <w:snapToGrid w:val="0"/>
          <w:color w:val="000000"/>
          <w:sz w:val="28"/>
          <w:szCs w:val="28"/>
          <w:highlight w:val="yellow"/>
          <w:lang w:eastAsia="zh-CN"/>
        </w:rPr>
      </w:pPr>
      <w:r>
        <w:rPr>
          <w:rFonts w:hint="eastAsia" w:ascii="仿宋_GB2312" w:hAnsi="仿宋_GB2312" w:eastAsia="仿宋_GB2312" w:cs="仿宋_GB2312"/>
          <w:b/>
          <w:snapToGrid w:val="0"/>
          <w:color w:val="000000"/>
          <w:sz w:val="30"/>
          <w:szCs w:val="30"/>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_GB2312" w:hAnsi="仿宋_GB2312" w:eastAsia="仿宋_GB2312" w:cs="仿宋_GB2312"/>
          <w:b w:val="0"/>
          <w:bCs/>
          <w:snapToGrid w:val="0"/>
          <w:color w:val="000000"/>
          <w:sz w:val="32"/>
          <w:szCs w:val="32"/>
          <w:highlight w:val="none"/>
        </w:rPr>
      </w:pPr>
      <w:r>
        <w:rPr>
          <w:rFonts w:hint="eastAsia" w:ascii="仿宋_GB2312" w:hAnsi="仿宋_GB2312" w:eastAsia="仿宋_GB2312" w:cs="仿宋_GB2312"/>
          <w:b w:val="0"/>
          <w:bCs/>
          <w:snapToGrid w:val="0"/>
          <w:color w:val="000000"/>
          <w:sz w:val="32"/>
          <w:szCs w:val="32"/>
          <w:highlight w:val="none"/>
          <w:lang w:val="en-US" w:eastAsia="zh-CN"/>
        </w:rPr>
        <w:t>二零二二</w:t>
      </w:r>
      <w:r>
        <w:rPr>
          <w:rFonts w:hint="eastAsia" w:ascii="仿宋_GB2312" w:hAnsi="仿宋_GB2312" w:eastAsia="仿宋_GB2312" w:cs="仿宋_GB2312"/>
          <w:b w:val="0"/>
          <w:bCs/>
          <w:snapToGrid w:val="0"/>
          <w:color w:val="000000"/>
          <w:sz w:val="32"/>
          <w:szCs w:val="32"/>
          <w:highlight w:val="none"/>
          <w:lang w:eastAsia="zh-CN"/>
        </w:rPr>
        <w:t>年</w:t>
      </w:r>
      <w:r>
        <w:rPr>
          <w:rFonts w:hint="eastAsia" w:ascii="仿宋_GB2312" w:hAnsi="仿宋_GB2312" w:eastAsia="仿宋_GB2312" w:cs="仿宋_GB2312"/>
          <w:b w:val="0"/>
          <w:bCs/>
          <w:snapToGrid w:val="0"/>
          <w:color w:val="000000"/>
          <w:sz w:val="32"/>
          <w:szCs w:val="32"/>
          <w:highlight w:val="none"/>
          <w:lang w:val="en-US" w:eastAsia="zh-CN"/>
        </w:rPr>
        <w:t>七</w:t>
      </w:r>
      <w:r>
        <w:rPr>
          <w:rFonts w:hint="eastAsia" w:ascii="仿宋_GB2312" w:hAnsi="仿宋_GB2312" w:eastAsia="仿宋_GB2312" w:cs="仿宋_GB2312"/>
          <w:b w:val="0"/>
          <w:bCs/>
          <w:snapToGrid w:val="0"/>
          <w:color w:val="000000"/>
          <w:sz w:val="32"/>
          <w:szCs w:val="32"/>
          <w:highlight w:val="none"/>
        </w:rPr>
        <w:t>月</w:t>
      </w:r>
      <w:r>
        <w:rPr>
          <w:rFonts w:hint="eastAsia" w:ascii="仿宋_GB2312" w:hAnsi="仿宋_GB2312" w:eastAsia="仿宋_GB2312" w:cs="仿宋_GB2312"/>
          <w:b w:val="0"/>
          <w:bCs/>
          <w:snapToGrid w:val="0"/>
          <w:color w:val="000000"/>
          <w:sz w:val="32"/>
          <w:szCs w:val="32"/>
          <w:highlight w:val="none"/>
          <w:lang w:val="en-US" w:eastAsia="zh-CN"/>
        </w:rPr>
        <w:t>二十七</w:t>
      </w:r>
      <w:r>
        <w:rPr>
          <w:rFonts w:hint="eastAsia" w:ascii="仿宋_GB2312" w:hAnsi="仿宋_GB2312" w:eastAsia="仿宋_GB2312" w:cs="仿宋_GB2312"/>
          <w:b w:val="0"/>
          <w:bCs/>
          <w:snapToGrid w:val="0"/>
          <w:color w:val="000000"/>
          <w:sz w:val="32"/>
          <w:szCs w:val="32"/>
          <w:highlight w:val="none"/>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_GB2312" w:hAnsi="仿宋_GB2312" w:eastAsia="仿宋_GB2312" w:cs="仿宋_GB2312"/>
          <w:b/>
          <w:bCs/>
          <w:snapToGrid w:val="0"/>
          <w:color w:val="000000"/>
          <w:sz w:val="32"/>
        </w:rPr>
      </w:pPr>
      <w:r>
        <w:rPr>
          <w:rFonts w:hint="eastAsia" w:ascii="仿宋_GB2312" w:hAnsi="仿宋_GB2312" w:eastAsia="仿宋_GB2312" w:cs="仿宋_GB2312"/>
          <w:b/>
          <w:bCs/>
          <w:snapToGrid w:val="0"/>
          <w:color w:val="000000"/>
          <w:sz w:val="32"/>
        </w:rPr>
        <w:br w:type="page"/>
      </w:r>
      <w:r>
        <w:rPr>
          <w:rFonts w:hint="eastAsia" w:ascii="仿宋_GB2312" w:hAnsi="仿宋_GB2312" w:eastAsia="仿宋_GB2312" w:cs="仿宋_GB2312"/>
          <w:b/>
          <w:bCs/>
          <w:snapToGrid w:val="0"/>
          <w:color w:val="000000"/>
          <w:sz w:val="32"/>
        </w:rPr>
        <w:t>申   明</w:t>
      </w:r>
    </w:p>
    <w:p>
      <w:pPr>
        <w:autoSpaceDE w:val="0"/>
        <w:autoSpaceDN w:val="0"/>
        <w:adjustRightInd w:val="0"/>
        <w:spacing w:line="560" w:lineRule="atLeast"/>
        <w:ind w:firstLine="624"/>
        <w:jc w:val="center"/>
        <w:rPr>
          <w:rFonts w:hint="eastAsia" w:ascii="仿宋_GB2312" w:hAnsi="仿宋_GB2312" w:eastAsia="仿宋_GB2312" w:cs="仿宋_GB2312"/>
          <w:b/>
          <w:bCs/>
          <w:snapToGrid w:val="0"/>
          <w:color w:val="000000"/>
          <w:sz w:val="32"/>
        </w:rPr>
      </w:pPr>
    </w:p>
    <w:p>
      <w:pPr>
        <w:wordWrap w:val="0"/>
        <w:autoSpaceDE w:val="0"/>
        <w:autoSpaceDN w:val="0"/>
        <w:adjustRightInd w:val="0"/>
        <w:spacing w:line="560" w:lineRule="atLeast"/>
        <w:ind w:firstLine="624"/>
        <w:rPr>
          <w:rFonts w:hint="eastAsia" w:ascii="仿宋_GB2312" w:hAnsi="仿宋_GB2312" w:eastAsia="仿宋_GB2312" w:cs="仿宋_GB2312"/>
          <w:snapToGrid w:val="0"/>
          <w:color w:val="000000"/>
          <w:sz w:val="28"/>
        </w:rPr>
      </w:pPr>
      <w:r>
        <w:rPr>
          <w:rFonts w:hint="eastAsia" w:ascii="仿宋_GB2312" w:hAnsi="仿宋_GB2312" w:eastAsia="仿宋_GB2312" w:cs="仿宋_GB2312"/>
          <w:snapToGrid w:val="0"/>
          <w:color w:val="000000"/>
          <w:sz w:val="28"/>
        </w:rPr>
        <w:t>本招标文件专用于江苏常熟农村商业银行股份有限公司本次</w:t>
      </w:r>
      <w:r>
        <w:rPr>
          <w:rFonts w:hint="eastAsia" w:ascii="仿宋_GB2312" w:hAnsi="仿宋_GB2312" w:eastAsia="仿宋_GB2312" w:cs="仿宋_GB2312"/>
          <w:snapToGrid w:val="0"/>
          <w:color w:val="000000"/>
          <w:sz w:val="28"/>
          <w:highlight w:val="none"/>
        </w:rPr>
        <w:t>“</w:t>
      </w:r>
      <w:r>
        <w:rPr>
          <w:rFonts w:hint="eastAsia" w:ascii="仿宋_GB2312" w:hAnsi="仿宋_GB2312" w:eastAsia="仿宋_GB2312" w:cs="仿宋_GB2312"/>
          <w:snapToGrid w:val="0"/>
          <w:color w:val="000000"/>
          <w:sz w:val="28"/>
          <w:highlight w:val="none"/>
          <w:u w:val="single"/>
          <w:lang w:eastAsia="zh-CN"/>
        </w:rPr>
        <w:t>2022年双录平台采购项目</w:t>
      </w:r>
      <w:r>
        <w:rPr>
          <w:rFonts w:hint="eastAsia" w:ascii="仿宋_GB2312" w:hAnsi="仿宋_GB2312" w:eastAsia="仿宋_GB2312" w:cs="仿宋_GB2312"/>
          <w:snapToGrid w:val="0"/>
          <w:color w:val="000000"/>
          <w:sz w:val="28"/>
          <w:highlight w:val="none"/>
        </w:rPr>
        <w:t>”进行招标，江苏常熟农村商业银行股份</w:t>
      </w:r>
      <w:r>
        <w:rPr>
          <w:rFonts w:hint="eastAsia" w:ascii="仿宋_GB2312" w:hAnsi="仿宋_GB2312" w:eastAsia="仿宋_GB2312" w:cs="仿宋_GB2312"/>
          <w:snapToGrid w:val="0"/>
          <w:color w:val="000000"/>
          <w:sz w:val="28"/>
        </w:rPr>
        <w:t>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pStyle w:val="2"/>
        <w:spacing w:after="240"/>
        <w:jc w:val="center"/>
        <w:rPr>
          <w:rFonts w:hint="eastAsia" w:ascii="仿宋_GB2312" w:hAnsi="仿宋_GB2312" w:eastAsia="仿宋_GB2312" w:cs="仿宋_GB2312"/>
          <w:b/>
          <w:bCs/>
          <w:snapToGrid w:val="0"/>
          <w:color w:val="000000"/>
          <w:sz w:val="30"/>
          <w:szCs w:val="30"/>
        </w:rPr>
      </w:pPr>
      <w:r>
        <w:rPr>
          <w:rFonts w:hint="eastAsia" w:ascii="仿宋_GB2312" w:hAnsi="仿宋_GB2312" w:eastAsia="仿宋_GB2312" w:cs="仿宋_GB2312"/>
          <w:snapToGrid w:val="0"/>
          <w:color w:val="000000"/>
        </w:rPr>
        <w:br w:type="page"/>
      </w:r>
      <w:r>
        <w:rPr>
          <w:rFonts w:hint="eastAsia" w:ascii="仿宋_GB2312" w:hAnsi="仿宋_GB2312" w:eastAsia="仿宋_GB2312" w:cs="仿宋_GB2312"/>
          <w:b/>
          <w:snapToGrid w:val="0"/>
          <w:szCs w:val="28"/>
        </w:rPr>
        <w:t>第一部分</w:t>
      </w:r>
      <w:r>
        <w:rPr>
          <w:rFonts w:hint="eastAsia" w:ascii="仿宋_GB2312" w:hAnsi="仿宋_GB2312" w:eastAsia="仿宋_GB2312" w:cs="仿宋_GB2312"/>
          <w:b/>
          <w:snapToGrid w:val="0"/>
          <w:szCs w:val="28"/>
          <w:lang w:val="en-US" w:eastAsia="zh-CN"/>
        </w:rPr>
        <w:t xml:space="preserve">  </w:t>
      </w:r>
      <w:r>
        <w:rPr>
          <w:rFonts w:hint="eastAsia" w:ascii="仿宋_GB2312" w:hAnsi="仿宋_GB2312" w:eastAsia="仿宋_GB2312" w:cs="仿宋_GB2312"/>
          <w:b/>
          <w:snapToGrid w:val="0"/>
          <w:szCs w:val="28"/>
        </w:rPr>
        <w:t>投标</w:t>
      </w:r>
      <w:bookmarkStart w:id="0" w:name="投标邀请函"/>
      <w:bookmarkEnd w:id="0"/>
      <w:r>
        <w:rPr>
          <w:rFonts w:hint="eastAsia" w:ascii="仿宋_GB2312" w:hAnsi="仿宋_GB2312" w:eastAsia="仿宋_GB2312" w:cs="仿宋_GB2312"/>
          <w:b/>
          <w:snapToGrid w:val="0"/>
          <w:szCs w:val="28"/>
        </w:rPr>
        <w:t>函</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rPr>
        <w:t>根据</w:t>
      </w:r>
      <w:r>
        <w:rPr>
          <w:rFonts w:hint="eastAsia" w:ascii="仿宋_GB2312" w:hAnsi="仿宋_GB2312" w:eastAsia="仿宋_GB2312" w:cs="仿宋_GB2312"/>
          <w:snapToGrid w:val="0"/>
          <w:color w:val="000000"/>
          <w:sz w:val="28"/>
          <w:highlight w:val="none"/>
        </w:rPr>
        <w:t>江苏常熟农村商业银行股份有限公司</w:t>
      </w:r>
      <w:r>
        <w:rPr>
          <w:rFonts w:hint="eastAsia" w:ascii="仿宋_GB2312" w:hAnsi="仿宋_GB2312" w:eastAsia="仿宋_GB2312" w:cs="仿宋_GB2312"/>
          <w:snapToGrid w:val="0"/>
          <w:color w:val="000000"/>
          <w:sz w:val="28"/>
          <w:szCs w:val="28"/>
          <w:highlight w:val="none"/>
        </w:rPr>
        <w:t>业务发展需求，现就</w:t>
      </w:r>
      <w:r>
        <w:rPr>
          <w:rFonts w:hint="eastAsia" w:ascii="仿宋_GB2312" w:hAnsi="仿宋_GB2312" w:eastAsia="仿宋_GB2312" w:cs="仿宋_GB2312"/>
          <w:snapToGrid w:val="0"/>
          <w:color w:val="000000"/>
          <w:sz w:val="28"/>
          <w:highlight w:val="none"/>
          <w:lang w:eastAsia="zh-CN"/>
        </w:rPr>
        <w:t>我行</w:t>
      </w:r>
      <w:r>
        <w:rPr>
          <w:rFonts w:hint="eastAsia" w:ascii="仿宋_GB2312" w:hAnsi="仿宋_GB2312" w:eastAsia="仿宋_GB2312" w:cs="仿宋_GB2312"/>
          <w:snapToGrid w:val="0"/>
          <w:color w:val="000000"/>
          <w:sz w:val="28"/>
          <w:highlight w:val="none"/>
        </w:rPr>
        <w:t>“</w:t>
      </w:r>
      <w:r>
        <w:rPr>
          <w:rFonts w:hint="eastAsia" w:ascii="仿宋_GB2312" w:hAnsi="仿宋_GB2312" w:eastAsia="仿宋_GB2312" w:cs="仿宋_GB2312"/>
          <w:snapToGrid w:val="0"/>
          <w:color w:val="000000"/>
          <w:sz w:val="28"/>
          <w:highlight w:val="none"/>
          <w:u w:val="single"/>
          <w:lang w:eastAsia="zh-CN"/>
        </w:rPr>
        <w:t>2022年双录平台采购项目</w:t>
      </w:r>
      <w:r>
        <w:rPr>
          <w:rFonts w:hint="eastAsia" w:ascii="仿宋_GB2312" w:hAnsi="仿宋_GB2312" w:eastAsia="仿宋_GB2312" w:cs="仿宋_GB2312"/>
          <w:snapToGrid w:val="0"/>
          <w:color w:val="000000"/>
          <w:sz w:val="28"/>
          <w:szCs w:val="28"/>
          <w:highlight w:val="none"/>
        </w:rPr>
        <w:t>”进行招标</w:t>
      </w:r>
      <w:r>
        <w:rPr>
          <w:rFonts w:hint="eastAsia" w:ascii="仿宋_GB2312" w:hAnsi="仿宋_GB2312" w:eastAsia="仿宋_GB2312" w:cs="仿宋_GB2312"/>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2" w:firstLineChars="200"/>
        <w:textAlignment w:val="auto"/>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1.招标编号：</w:t>
      </w:r>
      <w:r>
        <w:rPr>
          <w:rFonts w:hint="eastAsia" w:ascii="仿宋_GB2312" w:hAnsi="仿宋_GB2312" w:eastAsia="仿宋_GB2312" w:cs="仿宋_GB2312"/>
          <w:b w:val="0"/>
          <w:bCs w:val="0"/>
          <w:snapToGrid w:val="0"/>
          <w:color w:val="000000"/>
          <w:sz w:val="28"/>
          <w:szCs w:val="28"/>
          <w:highlight w:val="none"/>
          <w:lang w:val="en-US" w:eastAsia="zh-CN"/>
        </w:rPr>
        <w:t>20220060</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2" w:firstLineChars="200"/>
        <w:textAlignment w:val="auto"/>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b/>
          <w:bCs/>
          <w:snapToGrid w:val="0"/>
          <w:color w:val="000000"/>
          <w:sz w:val="28"/>
          <w:szCs w:val="28"/>
          <w:highlight w:val="none"/>
          <w:lang w:val="en-US" w:eastAsia="zh-CN"/>
        </w:rPr>
        <w:t>2.</w:t>
      </w:r>
      <w:r>
        <w:rPr>
          <w:rFonts w:hint="eastAsia" w:ascii="仿宋_GB2312" w:hAnsi="仿宋_GB2312" w:eastAsia="仿宋_GB2312" w:cs="仿宋_GB2312"/>
          <w:b/>
          <w:bCs/>
          <w:snapToGrid w:val="0"/>
          <w:color w:val="000000"/>
          <w:sz w:val="28"/>
          <w:szCs w:val="28"/>
          <w:highlight w:val="none"/>
        </w:rPr>
        <w:t>招标人：</w:t>
      </w:r>
      <w:r>
        <w:rPr>
          <w:rFonts w:hint="eastAsia" w:ascii="仿宋_GB2312" w:hAnsi="仿宋_GB2312" w:eastAsia="仿宋_GB2312" w:cs="仿宋_GB2312"/>
          <w:snapToGrid w:val="0"/>
          <w:color w:val="000000"/>
          <w:sz w:val="28"/>
          <w:highlight w:val="none"/>
        </w:rPr>
        <w:t>江苏常熟农村商业银行股份有限公司</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rPr>
        <w:t>项目实施地点：</w:t>
      </w:r>
      <w:r>
        <w:rPr>
          <w:rFonts w:hint="eastAsia" w:ascii="仿宋_GB2312" w:hAnsi="仿宋_GB2312" w:eastAsia="仿宋_GB2312" w:cs="仿宋_GB2312"/>
          <w:snapToGrid w:val="0"/>
          <w:sz w:val="28"/>
          <w:szCs w:val="28"/>
          <w:highlight w:val="none"/>
          <w:lang w:val="en-US" w:eastAsia="zh-CN"/>
        </w:rPr>
        <w:t xml:space="preserve"> 苏州 </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rPr>
        <w:t>发放标书时间：</w:t>
      </w:r>
      <w:r>
        <w:rPr>
          <w:rFonts w:hint="eastAsia" w:ascii="仿宋_GB2312" w:hAnsi="仿宋_GB2312" w:eastAsia="仿宋_GB2312" w:cs="仿宋_GB2312"/>
          <w:b/>
          <w:bCs/>
          <w:snapToGrid w:val="0"/>
          <w:sz w:val="28"/>
          <w:szCs w:val="28"/>
          <w:highlight w:val="none"/>
          <w:lang w:val="en-US" w:eastAsia="zh-CN"/>
        </w:rPr>
        <w:t xml:space="preserve"> </w:t>
      </w:r>
      <w:r>
        <w:rPr>
          <w:rFonts w:hint="eastAsia" w:ascii="仿宋_GB2312" w:hAnsi="仿宋_GB2312" w:eastAsia="仿宋_GB2312" w:cs="仿宋_GB2312"/>
          <w:snapToGrid w:val="0"/>
          <w:sz w:val="28"/>
          <w:szCs w:val="28"/>
          <w:highlight w:val="none"/>
        </w:rPr>
        <w:t xml:space="preserve">北京时间 </w:t>
      </w:r>
      <w:r>
        <w:rPr>
          <w:rFonts w:hint="eastAsia" w:ascii="仿宋_GB2312" w:hAnsi="仿宋_GB2312" w:eastAsia="仿宋_GB2312" w:cs="仿宋_GB2312"/>
          <w:snapToGrid w:val="0"/>
          <w:sz w:val="28"/>
          <w:szCs w:val="28"/>
          <w:highlight w:val="none"/>
          <w:lang w:val="en-US" w:eastAsia="zh-CN"/>
        </w:rPr>
        <w:t>2022</w:t>
      </w:r>
      <w:r>
        <w:rPr>
          <w:rFonts w:hint="eastAsia" w:ascii="仿宋_GB2312" w:hAnsi="仿宋_GB2312" w:eastAsia="仿宋_GB2312" w:cs="仿宋_GB2312"/>
          <w:snapToGrid w:val="0"/>
          <w:sz w:val="28"/>
          <w:szCs w:val="28"/>
          <w:highlight w:val="none"/>
        </w:rPr>
        <w:t>年</w:t>
      </w:r>
      <w:r>
        <w:rPr>
          <w:rFonts w:hint="eastAsia" w:ascii="仿宋_GB2312" w:hAnsi="仿宋_GB2312" w:eastAsia="仿宋_GB2312" w:cs="仿宋_GB2312"/>
          <w:snapToGrid w:val="0"/>
          <w:sz w:val="28"/>
          <w:szCs w:val="28"/>
          <w:highlight w:val="none"/>
          <w:lang w:val="en-US" w:eastAsia="zh-CN"/>
        </w:rPr>
        <w:t>07</w:t>
      </w:r>
      <w:r>
        <w:rPr>
          <w:rFonts w:hint="eastAsia" w:ascii="仿宋_GB2312" w:hAnsi="仿宋_GB2312" w:eastAsia="仿宋_GB2312" w:cs="仿宋_GB2312"/>
          <w:snapToGrid w:val="0"/>
          <w:sz w:val="28"/>
          <w:szCs w:val="28"/>
          <w:highlight w:val="none"/>
        </w:rPr>
        <w:t>月</w:t>
      </w:r>
      <w:r>
        <w:rPr>
          <w:rFonts w:hint="eastAsia" w:ascii="仿宋_GB2312" w:hAnsi="仿宋_GB2312" w:eastAsia="仿宋_GB2312" w:cs="仿宋_GB2312"/>
          <w:snapToGrid w:val="0"/>
          <w:sz w:val="28"/>
          <w:szCs w:val="28"/>
          <w:highlight w:val="none"/>
          <w:lang w:val="en-US" w:eastAsia="zh-CN"/>
        </w:rPr>
        <w:t>27</w:t>
      </w:r>
      <w:r>
        <w:rPr>
          <w:rFonts w:hint="eastAsia" w:ascii="仿宋_GB2312" w:hAnsi="仿宋_GB2312" w:eastAsia="仿宋_GB2312" w:cs="仿宋_GB2312"/>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5.</w:t>
      </w:r>
      <w:r>
        <w:rPr>
          <w:rFonts w:hint="eastAsia" w:ascii="仿宋_GB2312" w:hAnsi="仿宋_GB2312" w:eastAsia="仿宋_GB2312" w:cs="仿宋_GB2312"/>
          <w:b/>
          <w:bCs/>
          <w:snapToGrid w:val="0"/>
          <w:sz w:val="28"/>
          <w:szCs w:val="28"/>
          <w:highlight w:val="none"/>
        </w:rPr>
        <w:t>投标截止时间：</w:t>
      </w:r>
      <w:r>
        <w:rPr>
          <w:rFonts w:hint="eastAsia" w:ascii="仿宋_GB2312" w:hAnsi="仿宋_GB2312" w:eastAsia="仿宋_GB2312" w:cs="仿宋_GB2312"/>
          <w:b/>
          <w:bCs/>
          <w:snapToGrid w:val="0"/>
          <w:sz w:val="28"/>
          <w:szCs w:val="28"/>
          <w:highlight w:val="none"/>
          <w:lang w:val="en-US" w:eastAsia="zh-CN"/>
        </w:rPr>
        <w:t xml:space="preserve"> </w:t>
      </w:r>
      <w:r>
        <w:rPr>
          <w:rFonts w:hint="eastAsia" w:ascii="仿宋_GB2312" w:hAnsi="仿宋_GB2312" w:eastAsia="仿宋_GB2312" w:cs="仿宋_GB2312"/>
          <w:snapToGrid w:val="0"/>
          <w:sz w:val="28"/>
          <w:szCs w:val="28"/>
          <w:highlight w:val="none"/>
        </w:rPr>
        <w:t xml:space="preserve">北京时间 </w:t>
      </w:r>
      <w:r>
        <w:rPr>
          <w:rFonts w:hint="eastAsia" w:ascii="仿宋_GB2312" w:hAnsi="仿宋_GB2312" w:eastAsia="仿宋_GB2312" w:cs="仿宋_GB2312"/>
          <w:snapToGrid w:val="0"/>
          <w:sz w:val="28"/>
          <w:szCs w:val="28"/>
          <w:highlight w:val="none"/>
          <w:lang w:val="en-US" w:eastAsia="zh-CN"/>
        </w:rPr>
        <w:t>2022</w:t>
      </w:r>
      <w:r>
        <w:rPr>
          <w:rFonts w:hint="eastAsia" w:ascii="仿宋_GB2312" w:hAnsi="仿宋_GB2312" w:eastAsia="仿宋_GB2312" w:cs="仿宋_GB2312"/>
          <w:snapToGrid w:val="0"/>
          <w:sz w:val="28"/>
          <w:szCs w:val="28"/>
          <w:highlight w:val="none"/>
        </w:rPr>
        <w:t>年</w:t>
      </w:r>
      <w:r>
        <w:rPr>
          <w:rFonts w:hint="eastAsia" w:ascii="仿宋_GB2312" w:hAnsi="仿宋_GB2312" w:eastAsia="仿宋_GB2312" w:cs="仿宋_GB2312"/>
          <w:snapToGrid w:val="0"/>
          <w:sz w:val="28"/>
          <w:szCs w:val="28"/>
          <w:highlight w:val="none"/>
          <w:lang w:val="en-US" w:eastAsia="zh-CN"/>
        </w:rPr>
        <w:t>08</w:t>
      </w:r>
      <w:r>
        <w:rPr>
          <w:rFonts w:hint="eastAsia" w:ascii="仿宋_GB2312" w:hAnsi="仿宋_GB2312" w:eastAsia="仿宋_GB2312" w:cs="仿宋_GB2312"/>
          <w:snapToGrid w:val="0"/>
          <w:sz w:val="28"/>
          <w:szCs w:val="28"/>
          <w:highlight w:val="none"/>
        </w:rPr>
        <w:t>月</w:t>
      </w:r>
      <w:r>
        <w:rPr>
          <w:rFonts w:hint="eastAsia" w:ascii="仿宋_GB2312" w:hAnsi="仿宋_GB2312" w:eastAsia="仿宋_GB2312" w:cs="仿宋_GB2312"/>
          <w:snapToGrid w:val="0"/>
          <w:sz w:val="28"/>
          <w:szCs w:val="28"/>
          <w:highlight w:val="none"/>
          <w:lang w:val="en-US" w:eastAsia="zh-CN"/>
        </w:rPr>
        <w:t>15</w:t>
      </w:r>
      <w:r>
        <w:rPr>
          <w:rFonts w:hint="eastAsia" w:ascii="仿宋_GB2312" w:hAnsi="仿宋_GB2312" w:eastAsia="仿宋_GB2312" w:cs="仿宋_GB2312"/>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lang w:val="en-US" w:eastAsia="zh-CN"/>
        </w:rPr>
        <w:t>6.</w:t>
      </w:r>
      <w:r>
        <w:rPr>
          <w:rFonts w:hint="eastAsia" w:ascii="仿宋_GB2312" w:hAnsi="仿宋_GB2312" w:eastAsia="仿宋_GB2312" w:cs="仿宋_GB2312"/>
          <w:b/>
          <w:bCs/>
          <w:snapToGrid w:val="0"/>
          <w:color w:val="000000"/>
          <w:sz w:val="28"/>
          <w:szCs w:val="28"/>
          <w:highlight w:val="none"/>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邮政编码：215500</w:t>
      </w:r>
      <w:bookmarkStart w:id="2" w:name="_GoBack"/>
      <w:bookmarkEnd w:id="2"/>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联系人： </w:t>
      </w:r>
      <w:r>
        <w:rPr>
          <w:rFonts w:hint="eastAsia" w:ascii="仿宋_GB2312" w:hAnsi="仿宋_GB2312" w:eastAsia="仿宋_GB2312" w:cs="仿宋_GB2312"/>
          <w:kern w:val="0"/>
          <w:sz w:val="28"/>
          <w:szCs w:val="28"/>
          <w:highlight w:val="none"/>
          <w:lang w:val="en-US" w:eastAsia="zh-CN"/>
        </w:rPr>
        <w:t>祁胜</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电话号码：</w:t>
      </w:r>
      <w:r>
        <w:rPr>
          <w:rFonts w:hint="eastAsia" w:ascii="仿宋_GB2312" w:hAnsi="仿宋_GB2312" w:eastAsia="仿宋_GB2312" w:cs="仿宋_GB2312"/>
          <w:kern w:val="0"/>
          <w:sz w:val="28"/>
          <w:szCs w:val="28"/>
          <w:highlight w:val="none"/>
          <w:lang w:val="en-US" w:eastAsia="zh-CN"/>
        </w:rPr>
        <w:t>13915669870</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eastAsia="zh-CN"/>
        </w:rPr>
        <w:t>标书接收</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电话号码：0512-52739210</w:t>
      </w:r>
    </w:p>
    <w:p>
      <w:pPr>
        <w:numPr>
          <w:ilvl w:val="0"/>
          <w:numId w:val="0"/>
        </w:numPr>
        <w:autoSpaceDE w:val="0"/>
        <w:autoSpaceDN w:val="0"/>
        <w:adjustRightInd w:val="0"/>
        <w:jc w:val="left"/>
        <w:rPr>
          <w:rFonts w:hint="eastAsia" w:ascii="仿宋_GB2312" w:hAnsi="仿宋_GB2312" w:eastAsia="仿宋_GB2312" w:cs="仿宋_GB2312"/>
          <w:i w:val="0"/>
          <w:iCs w:val="0"/>
          <w:snapToGrid w:val="0"/>
          <w:sz w:val="24"/>
          <w:szCs w:val="24"/>
          <w:highlight w:val="none"/>
          <w:lang w:eastAsia="zh-CN"/>
        </w:rPr>
      </w:pPr>
    </w:p>
    <w:p>
      <w:pPr>
        <w:numPr>
          <w:ilvl w:val="0"/>
          <w:numId w:val="0"/>
        </w:numPr>
        <w:autoSpaceDE w:val="0"/>
        <w:autoSpaceDN w:val="0"/>
        <w:adjustRightInd w:val="0"/>
        <w:jc w:val="left"/>
        <w:rPr>
          <w:rFonts w:hint="eastAsia" w:ascii="仿宋_GB2312" w:hAnsi="仿宋_GB2312" w:eastAsia="仿宋_GB2312" w:cs="仿宋_GB2312"/>
          <w:i w:val="0"/>
          <w:iCs w:val="0"/>
          <w:snapToGrid w:val="0"/>
          <w:sz w:val="24"/>
          <w:szCs w:val="24"/>
          <w:highlight w:val="none"/>
          <w:lang w:eastAsia="zh-CN"/>
        </w:rPr>
      </w:pPr>
      <w:r>
        <w:rPr>
          <w:rFonts w:hint="eastAsia" w:ascii="仿宋_GB2312" w:hAnsi="仿宋_GB2312" w:eastAsia="仿宋_GB2312" w:cs="仿宋_GB2312"/>
          <w:i w:val="0"/>
          <w:iCs w:val="0"/>
          <w:snapToGrid w:val="0"/>
          <w:sz w:val="24"/>
          <w:szCs w:val="24"/>
          <w:highlight w:val="none"/>
          <w:lang w:eastAsia="zh-CN"/>
        </w:rPr>
        <w:t>特别说明：</w:t>
      </w:r>
    </w:p>
    <w:p>
      <w:pPr>
        <w:numPr>
          <w:ilvl w:val="0"/>
          <w:numId w:val="0"/>
        </w:numPr>
        <w:autoSpaceDE w:val="0"/>
        <w:autoSpaceDN w:val="0"/>
        <w:adjustRightInd w:val="0"/>
        <w:ind w:firstLine="560"/>
        <w:jc w:val="left"/>
        <w:rPr>
          <w:rFonts w:hint="eastAsia" w:ascii="仿宋_GB2312" w:hAnsi="仿宋_GB2312" w:eastAsia="仿宋_GB2312" w:cs="仿宋_GB2312"/>
          <w:i w:val="0"/>
          <w:iCs w:val="0"/>
          <w:snapToGrid w:val="0"/>
          <w:color w:val="000000"/>
          <w:sz w:val="24"/>
          <w:szCs w:val="24"/>
          <w:highlight w:val="none"/>
          <w:lang w:val="en-US" w:eastAsia="zh-CN"/>
        </w:rPr>
      </w:pPr>
      <w:r>
        <w:rPr>
          <w:rFonts w:hint="eastAsia" w:ascii="仿宋_GB2312" w:hAnsi="仿宋_GB2312" w:eastAsia="仿宋_GB2312" w:cs="仿宋_GB2312"/>
          <w:i w:val="0"/>
          <w:iCs w:val="0"/>
          <w:snapToGrid w:val="0"/>
          <w:color w:val="000000"/>
          <w:sz w:val="24"/>
          <w:szCs w:val="24"/>
          <w:highlight w:val="none"/>
          <w:lang w:val="en-US" w:eastAsia="zh-CN"/>
        </w:rPr>
        <w:t>1.投标截止时，若某标段的合格投标人数量未符合我行开标要求（三家及以上），则投标截止时间顺延一周。</w:t>
      </w:r>
    </w:p>
    <w:p>
      <w:pPr>
        <w:numPr>
          <w:ilvl w:val="0"/>
          <w:numId w:val="0"/>
        </w:numPr>
        <w:autoSpaceDE w:val="0"/>
        <w:autoSpaceDN w:val="0"/>
        <w:adjustRightInd w:val="0"/>
        <w:ind w:firstLine="560"/>
        <w:jc w:val="left"/>
        <w:rPr>
          <w:rFonts w:hint="eastAsia" w:ascii="仿宋_GB2312" w:hAnsi="仿宋_GB2312" w:eastAsia="仿宋_GB2312" w:cs="仿宋_GB2312"/>
          <w:i w:val="0"/>
          <w:iCs w:val="0"/>
          <w:snapToGrid w:val="0"/>
          <w:color w:val="000000"/>
          <w:sz w:val="24"/>
          <w:szCs w:val="24"/>
          <w:highlight w:val="none"/>
          <w:lang w:eastAsia="zh-CN"/>
        </w:rPr>
      </w:pPr>
      <w:r>
        <w:rPr>
          <w:rFonts w:hint="eastAsia" w:ascii="仿宋_GB2312" w:hAnsi="仿宋_GB2312" w:eastAsia="仿宋_GB2312" w:cs="仿宋_GB2312"/>
          <w:i w:val="0"/>
          <w:iCs w:val="0"/>
          <w:snapToGrid w:val="0"/>
          <w:color w:val="000000"/>
          <w:sz w:val="24"/>
          <w:szCs w:val="24"/>
          <w:highlight w:val="none"/>
          <w:lang w:val="en-US" w:eastAsia="zh-CN"/>
        </w:rPr>
        <w:t>2.若投标时间延长一周后，标段投标人数量仍未满足要求，则根据该标段投标人数量将采购方式转为单一来源或竞争性谈判。</w:t>
      </w:r>
    </w:p>
    <w:p>
      <w:pPr>
        <w:numPr>
          <w:ilvl w:val="0"/>
          <w:numId w:val="0"/>
        </w:numPr>
        <w:autoSpaceDE w:val="0"/>
        <w:autoSpaceDN w:val="0"/>
        <w:adjustRightInd w:val="0"/>
        <w:ind w:firstLine="560"/>
        <w:jc w:val="left"/>
        <w:rPr>
          <w:rFonts w:hint="eastAsia" w:ascii="仿宋_GB2312" w:hAnsi="仿宋_GB2312" w:eastAsia="仿宋_GB2312" w:cs="仿宋_GB2312"/>
          <w:i w:val="0"/>
          <w:iCs w:val="0"/>
          <w:snapToGrid w:val="0"/>
          <w:color w:val="000000"/>
          <w:sz w:val="24"/>
          <w:szCs w:val="24"/>
          <w:highlight w:val="none"/>
          <w:lang w:eastAsia="zh-CN"/>
        </w:rPr>
      </w:pPr>
    </w:p>
    <w:p>
      <w:pPr>
        <w:pStyle w:val="2"/>
        <w:spacing w:after="240"/>
        <w:jc w:val="right"/>
        <w:rPr>
          <w:rFonts w:hint="eastAsia" w:ascii="仿宋_GB2312" w:hAnsi="仿宋_GB2312" w:eastAsia="仿宋_GB2312" w:cs="仿宋_GB2312"/>
          <w:snapToGrid w:val="0"/>
          <w:color w:val="000000"/>
          <w:sz w:val="28"/>
        </w:rPr>
      </w:pPr>
    </w:p>
    <w:p>
      <w:pPr>
        <w:pStyle w:val="2"/>
        <w:spacing w:after="240"/>
        <w:jc w:val="right"/>
        <w:rPr>
          <w:rFonts w:hint="eastAsia" w:ascii="仿宋_GB2312" w:hAnsi="仿宋_GB2312" w:eastAsia="仿宋_GB2312" w:cs="仿宋_GB2312"/>
          <w:snapToGrid w:val="0"/>
          <w:color w:val="000000"/>
          <w:sz w:val="28"/>
        </w:rPr>
      </w:pPr>
      <w:r>
        <w:rPr>
          <w:rFonts w:hint="eastAsia" w:ascii="仿宋_GB2312" w:hAnsi="仿宋_GB2312" w:eastAsia="仿宋_GB2312" w:cs="仿宋_GB2312"/>
          <w:snapToGrid w:val="0"/>
          <w:color w:val="000000"/>
          <w:sz w:val="28"/>
        </w:rPr>
        <w:t>江苏常熟农村商业银行股份有限公司</w:t>
      </w:r>
    </w:p>
    <w:p>
      <w:pPr>
        <w:pStyle w:val="2"/>
        <w:spacing w:after="240"/>
        <w:jc w:val="center"/>
        <w:rPr>
          <w:rFonts w:hint="eastAsia" w:ascii="仿宋_GB2312" w:hAnsi="仿宋_GB2312" w:eastAsia="仿宋_GB2312" w:cs="仿宋_GB2312"/>
          <w:b/>
          <w:snapToGrid w:val="0"/>
          <w:szCs w:val="28"/>
        </w:rPr>
      </w:pPr>
      <w:r>
        <w:rPr>
          <w:rFonts w:hint="eastAsia" w:ascii="仿宋_GB2312" w:hAnsi="仿宋_GB2312" w:eastAsia="仿宋_GB2312" w:cs="仿宋_GB2312"/>
          <w:snapToGrid w:val="0"/>
          <w:color w:val="000000"/>
        </w:rPr>
        <w:br w:type="page"/>
      </w:r>
      <w:r>
        <w:rPr>
          <w:rFonts w:hint="eastAsia" w:ascii="仿宋_GB2312" w:hAnsi="仿宋_GB2312" w:eastAsia="仿宋_GB2312" w:cs="仿宋_GB2312"/>
          <w:b/>
          <w:snapToGrid w:val="0"/>
          <w:szCs w:val="28"/>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总体说明</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适用范围</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本招标文件仅适用于江苏常熟农村商业银行股份有限公司（以下简称“常熟农商银行”）“</w:t>
      </w:r>
      <w:r>
        <w:rPr>
          <w:rFonts w:hint="eastAsia" w:ascii="仿宋_GB2312" w:hAnsi="仿宋_GB2312" w:eastAsia="仿宋_GB2312" w:cs="仿宋_GB2312"/>
          <w:snapToGrid w:val="0"/>
          <w:color w:val="000000"/>
          <w:sz w:val="28"/>
          <w:highlight w:val="yellow"/>
          <w:u w:val="single"/>
          <w:lang w:eastAsia="zh-CN"/>
        </w:rPr>
        <w:t>2022年双录平台采购项目</w:t>
      </w:r>
      <w:r>
        <w:rPr>
          <w:rFonts w:hint="eastAsia" w:ascii="仿宋_GB2312" w:hAnsi="仿宋_GB2312" w:eastAsia="仿宋_GB2312" w:cs="仿宋_GB2312"/>
          <w:snapToGrid w:val="0"/>
          <w:color w:val="000000"/>
          <w:sz w:val="28"/>
          <w:szCs w:val="28"/>
        </w:rPr>
        <w:t>”而进行的公开招标。</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定义</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投标文件未送达指定地点，指定接收人。</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投标人必须为具有独立企业法人资格，具有合法名称、组织机构、固定的办公场所，注册资本要求不少于</w:t>
      </w:r>
      <w:r>
        <w:rPr>
          <w:rFonts w:hint="eastAsia" w:ascii="仿宋_GB2312" w:hAnsi="仿宋_GB2312" w:eastAsia="仿宋_GB2312" w:cs="仿宋_GB2312"/>
          <w:snapToGrid w:val="0"/>
          <w:color w:val="000000"/>
          <w:sz w:val="28"/>
          <w:szCs w:val="28"/>
          <w:highlight w:val="yellow"/>
          <w:u w:val="single"/>
          <w:lang w:val="en-US" w:eastAsia="zh-CN"/>
        </w:rPr>
        <w:t xml:space="preserve"> </w:t>
      </w:r>
      <w:r>
        <w:rPr>
          <w:rFonts w:hint="eastAsia" w:ascii="仿宋_GB2312" w:hAnsi="仿宋_GB2312" w:eastAsia="仿宋_GB2312" w:cs="仿宋_GB2312"/>
          <w:snapToGrid w:val="0"/>
          <w:color w:val="000000"/>
          <w:sz w:val="28"/>
          <w:szCs w:val="28"/>
          <w:highlight w:val="yellow"/>
          <w:u w:val="single"/>
        </w:rPr>
        <w:t>1000</w:t>
      </w:r>
      <w:r>
        <w:rPr>
          <w:rFonts w:hint="eastAsia" w:ascii="仿宋_GB2312" w:hAnsi="仿宋_GB2312" w:eastAsia="仿宋_GB2312" w:cs="仿宋_GB2312"/>
          <w:snapToGrid w:val="0"/>
          <w:color w:val="000000"/>
          <w:sz w:val="28"/>
          <w:szCs w:val="28"/>
          <w:highlight w:val="yellow"/>
          <w:u w:val="single"/>
          <w:lang w:val="en-US" w:eastAsia="zh-CN"/>
        </w:rPr>
        <w:t xml:space="preserve"> </w:t>
      </w:r>
      <w:r>
        <w:rPr>
          <w:rFonts w:hint="eastAsia" w:ascii="仿宋_GB2312" w:hAnsi="仿宋_GB2312" w:eastAsia="仿宋_GB2312" w:cs="仿宋_GB2312"/>
          <w:snapToGrid w:val="0"/>
          <w:color w:val="000000"/>
          <w:sz w:val="28"/>
          <w:szCs w:val="28"/>
        </w:rPr>
        <w:t>万元人民币（或等值外币），注册时间不少于</w:t>
      </w:r>
      <w:r>
        <w:rPr>
          <w:rFonts w:hint="eastAsia" w:ascii="仿宋_GB2312" w:hAnsi="仿宋_GB2312" w:eastAsia="仿宋_GB2312" w:cs="仿宋_GB2312"/>
          <w:snapToGrid w:val="0"/>
          <w:color w:val="000000"/>
          <w:sz w:val="28"/>
          <w:szCs w:val="28"/>
          <w:highlight w:val="yellow"/>
          <w:u w:val="single"/>
        </w:rPr>
        <w:t xml:space="preserve"> 3 </w:t>
      </w:r>
      <w:r>
        <w:rPr>
          <w:rFonts w:hint="eastAsia" w:ascii="仿宋_GB2312" w:hAnsi="仿宋_GB2312" w:eastAsia="仿宋_GB2312" w:cs="仿宋_GB2312"/>
          <w:snapToGrid w:val="0"/>
          <w:color w:val="000000"/>
          <w:sz w:val="28"/>
          <w:szCs w:val="28"/>
        </w:rPr>
        <w:t>年，且具有良好的技术力量、商业信誉和售后服务体系的设备（系统）分销商、厂商。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投标商需具有原厂授权、认证资格，并具有一定数量的获得认证的工程师。</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投标人必须具有良好的经济和技术实力，能够按时提交招标人要求的交付件，并能够及时地提供招标人要求的优质服务。</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投标人近3年来签署过类似合同、承担过类似项目及成功案例，案例数不少于</w:t>
      </w:r>
      <w:r>
        <w:rPr>
          <w:rFonts w:hint="eastAsia" w:ascii="仿宋_GB2312" w:hAnsi="仿宋_GB2312" w:eastAsia="仿宋_GB2312" w:cs="仿宋_GB2312"/>
          <w:snapToGrid w:val="0"/>
          <w:color w:val="000000"/>
          <w:sz w:val="28"/>
          <w:szCs w:val="28"/>
          <w:highlight w:val="yellow"/>
          <w:u w:val="single"/>
          <w:lang w:val="en-US" w:eastAsia="zh-CN"/>
        </w:rPr>
        <w:t xml:space="preserve"> </w:t>
      </w:r>
      <w:r>
        <w:rPr>
          <w:rFonts w:hint="eastAsia" w:ascii="仿宋_GB2312" w:hAnsi="仿宋_GB2312" w:eastAsia="仿宋_GB2312" w:cs="仿宋_GB2312"/>
          <w:snapToGrid w:val="0"/>
          <w:color w:val="000000"/>
          <w:sz w:val="28"/>
          <w:szCs w:val="28"/>
          <w:highlight w:val="yellow"/>
          <w:u w:val="single"/>
        </w:rPr>
        <w:t>3</w:t>
      </w:r>
      <w:r>
        <w:rPr>
          <w:rFonts w:hint="eastAsia" w:ascii="仿宋_GB2312" w:hAnsi="仿宋_GB2312" w:eastAsia="仿宋_GB2312" w:cs="仿宋_GB2312"/>
          <w:snapToGrid w:val="0"/>
          <w:color w:val="000000"/>
          <w:sz w:val="28"/>
          <w:szCs w:val="28"/>
          <w:highlight w:val="yellow"/>
          <w:u w:val="single"/>
          <w:lang w:val="en-US" w:eastAsia="zh-CN"/>
        </w:rPr>
        <w:t xml:space="preserve"> </w:t>
      </w:r>
      <w:r>
        <w:rPr>
          <w:rFonts w:hint="eastAsia" w:ascii="仿宋_GB2312" w:hAnsi="仿宋_GB2312" w:eastAsia="仿宋_GB2312" w:cs="仿宋_GB2312"/>
          <w:snapToGrid w:val="0"/>
          <w:color w:val="000000"/>
          <w:sz w:val="28"/>
          <w:szCs w:val="28"/>
        </w:rPr>
        <w:t>个。投标人应具备相应实施资格。</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标的项目中如包含的第三方产品和服务，要求投标人出具第三方授权书（包括产品、服务功能和价格），招标人保留对该第三方资格认定及与其直接签署合同的权利。</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投标费用</w:t>
      </w:r>
    </w:p>
    <w:p>
      <w:pPr>
        <w:numPr>
          <w:ilvl w:val="-1"/>
          <w:numId w:val="0"/>
        </w:numPr>
        <w:autoSpaceDE w:val="0"/>
        <w:autoSpaceDN w:val="0"/>
        <w:adjustRightInd w:val="0"/>
        <w:spacing w:line="560" w:lineRule="atLeast"/>
        <w:ind w:left="0" w:firstLine="624"/>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rPr>
        <w:t>投标人应自行承担与参加投标有关的全部费用，招标人在任何情况下无义务和责任承担上述费用。</w:t>
      </w:r>
    </w:p>
    <w:p>
      <w:pPr>
        <w:numPr>
          <w:ilvl w:val="0"/>
          <w:numId w:val="3"/>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招标文件的解释及咨询</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投标文件说明</w:t>
      </w:r>
    </w:p>
    <w:p>
      <w:pPr>
        <w:numPr>
          <w:ilvl w:val="0"/>
          <w:numId w:val="7"/>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要求</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除非有特殊要求，招标文件不单独提供招标设备（系统）或服务使用地的自然环境、气候条件、公用设施等情况，投标人被视为熟悉上述情况。</w:t>
      </w:r>
    </w:p>
    <w:p>
      <w:pPr>
        <w:numPr>
          <w:ilvl w:val="0"/>
          <w:numId w:val="7"/>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b/>
          <w:bCs/>
          <w:snapToGrid w:val="0"/>
          <w:color w:val="000000"/>
          <w:sz w:val="28"/>
          <w:szCs w:val="28"/>
        </w:rPr>
        <w:t>必须按照本招标文件要求制作</w:t>
      </w:r>
      <w:r>
        <w:rPr>
          <w:rFonts w:hint="eastAsia" w:ascii="仿宋_GB2312" w:hAnsi="仿宋_GB2312" w:eastAsia="仿宋_GB2312" w:cs="仿宋_GB2312"/>
          <w:snapToGrid w:val="0"/>
          <w:color w:val="000000"/>
          <w:sz w:val="28"/>
          <w:szCs w:val="28"/>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1</w:t>
      </w:r>
      <w:r>
        <w:rPr>
          <w:rFonts w:hint="eastAsia" w:ascii="仿宋_GB2312" w:hAnsi="仿宋_GB2312" w:eastAsia="仿宋_GB2312" w:cs="仿宋_GB2312"/>
          <w:b/>
          <w:bCs/>
          <w:snapToGrid w:val="0"/>
          <w:sz w:val="24"/>
          <w:szCs w:val="24"/>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eastAsia="zh-CN"/>
        </w:rPr>
        <w:t>说明：</w:t>
      </w:r>
      <w:r>
        <w:rPr>
          <w:rFonts w:hint="eastAsia" w:ascii="仿宋_GB2312" w:hAnsi="仿宋_GB2312" w:eastAsia="仿宋_GB2312" w:cs="仿宋_GB2312"/>
          <w:snapToGrid w:val="0"/>
          <w:sz w:val="24"/>
          <w:szCs w:val="24"/>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2：</w:t>
      </w:r>
      <w:r>
        <w:rPr>
          <w:rFonts w:hint="eastAsia" w:ascii="仿宋_GB2312" w:hAnsi="仿宋_GB2312" w:eastAsia="仿宋_GB2312" w:cs="仿宋_GB2312"/>
          <w:b/>
          <w:bCs/>
          <w:snapToGrid w:val="0"/>
          <w:sz w:val="24"/>
          <w:szCs w:val="24"/>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lang w:eastAsia="zh-CN"/>
        </w:rPr>
      </w:pPr>
      <w:r>
        <w:rPr>
          <w:rFonts w:hint="eastAsia" w:ascii="仿宋_GB2312" w:hAnsi="仿宋_GB2312" w:eastAsia="仿宋_GB2312" w:cs="仿宋_GB2312"/>
          <w:snapToGrid w:val="0"/>
          <w:sz w:val="24"/>
          <w:szCs w:val="24"/>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3：</w:t>
      </w:r>
      <w:r>
        <w:rPr>
          <w:rFonts w:hint="eastAsia" w:ascii="仿宋_GB2312" w:hAnsi="仿宋_GB2312" w:eastAsia="仿宋_GB2312" w:cs="仿宋_GB2312"/>
          <w:b/>
          <w:bCs/>
          <w:snapToGrid w:val="0"/>
          <w:sz w:val="24"/>
          <w:szCs w:val="24"/>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lang w:eastAsia="zh-CN"/>
        </w:rPr>
      </w:pPr>
      <w:r>
        <w:rPr>
          <w:rFonts w:hint="eastAsia" w:ascii="仿宋_GB2312" w:hAnsi="仿宋_GB2312" w:eastAsia="仿宋_GB2312" w:cs="仿宋_GB2312"/>
          <w:snapToGrid w:val="0"/>
          <w:sz w:val="24"/>
          <w:szCs w:val="24"/>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4：</w:t>
      </w:r>
      <w:r>
        <w:rPr>
          <w:rFonts w:hint="eastAsia" w:ascii="仿宋_GB2312" w:hAnsi="仿宋_GB2312" w:eastAsia="仿宋_GB2312" w:cs="仿宋_GB2312"/>
          <w:b/>
          <w:bCs/>
          <w:snapToGrid w:val="0"/>
          <w:sz w:val="24"/>
          <w:szCs w:val="24"/>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yellow"/>
          <w:lang w:eastAsia="zh-CN"/>
        </w:rPr>
      </w:pPr>
      <w:r>
        <w:rPr>
          <w:rFonts w:hint="eastAsia" w:ascii="仿宋_GB2312" w:hAnsi="仿宋_GB2312" w:eastAsia="仿宋_GB2312" w:cs="仿宋_GB2312"/>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val="en-US"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说明：投标方必须提供实际参与项目实施的成员列表及其</w:t>
      </w:r>
      <w:r>
        <w:rPr>
          <w:rFonts w:hint="eastAsia" w:ascii="仿宋_GB2312" w:hAnsi="仿宋_GB2312" w:eastAsia="仿宋_GB2312" w:cs="仿宋_GB2312"/>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lang w:eastAsia="zh-CN"/>
        </w:rPr>
        <w:t>投标人提供营业执照复印件等相关资质证明文件并</w:t>
      </w:r>
      <w:r>
        <w:rPr>
          <w:rFonts w:hint="eastAsia" w:ascii="仿宋_GB2312" w:hAnsi="仿宋_GB2312" w:eastAsia="仿宋_GB2312" w:cs="仿宋_GB2312"/>
          <w:snapToGrid w:val="0"/>
          <w:sz w:val="24"/>
          <w:szCs w:val="24"/>
          <w:highlight w:val="none"/>
          <w:lang w:val="en-US" w:eastAsia="zh-CN"/>
        </w:rPr>
        <w:t>按表格要求提供至少近三年的实施案例情况，并附证明文件，加盖公章。</w:t>
      </w:r>
    </w:p>
    <w:p>
      <w:pPr>
        <w:numPr>
          <w:ilvl w:val="0"/>
          <w:numId w:val="7"/>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投标文件的递交</w:t>
      </w:r>
    </w:p>
    <w:p>
      <w:pPr>
        <w:numPr>
          <w:ilvl w:val="0"/>
          <w:numId w:val="10"/>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投标文件的密封和递交</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投标人应将投标文件的正本和副本分别用非透明文件袋密封，在封签处加盖公章，并标明投标人名称、正本或副本、招标编号、投标产品名称。</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每一密封信封上注明“于开标前不准启封”的字样。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投标文件须标注页码：封面后的第一页为标书的目录，整本标书须标注统一的页码，成功案例合同等复印件可以手工填上统一的页码。</w:t>
      </w:r>
    </w:p>
    <w:p>
      <w:pPr>
        <w:numPr>
          <w:ilvl w:val="0"/>
          <w:numId w:val="10"/>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投标文件的修改和撤回</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投标保证金</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投标人须按规定交纳投标保证金: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FF0000"/>
          <w:sz w:val="28"/>
          <w:szCs w:val="28"/>
        </w:rPr>
      </w:pPr>
      <w:r>
        <w:rPr>
          <w:rFonts w:hint="eastAsia" w:ascii="仿宋_GB2312" w:hAnsi="仿宋_GB2312" w:eastAsia="仿宋_GB2312" w:cs="仿宋_GB2312"/>
          <w:snapToGrid w:val="0"/>
          <w:color w:val="FF0000"/>
          <w:sz w:val="28"/>
          <w:szCs w:val="28"/>
        </w:rPr>
        <w:t>人民币</w:t>
      </w:r>
      <w:r>
        <w:rPr>
          <w:rFonts w:hint="eastAsia" w:ascii="仿宋_GB2312" w:hAnsi="仿宋_GB2312" w:eastAsia="仿宋_GB2312" w:cs="仿宋_GB2312"/>
          <w:snapToGrid w:val="0"/>
          <w:color w:val="FF0000"/>
          <w:sz w:val="28"/>
          <w:szCs w:val="28"/>
          <w:u w:val="none"/>
          <w:lang w:val="en-US" w:eastAsia="zh-CN"/>
        </w:rPr>
        <w:t>贰万陆仟</w:t>
      </w:r>
      <w:r>
        <w:rPr>
          <w:rFonts w:hint="eastAsia" w:ascii="仿宋_GB2312" w:hAnsi="仿宋_GB2312" w:eastAsia="仿宋_GB2312" w:cs="仿宋_GB2312"/>
          <w:snapToGrid w:val="0"/>
          <w:color w:val="FF0000"/>
          <w:sz w:val="28"/>
          <w:szCs w:val="28"/>
          <w:u w:val="none"/>
        </w:rPr>
        <w:t>元</w:t>
      </w:r>
      <w:r>
        <w:rPr>
          <w:rFonts w:hint="eastAsia" w:ascii="仿宋_GB2312" w:hAnsi="仿宋_GB2312" w:eastAsia="仿宋_GB2312" w:cs="仿宋_GB2312"/>
          <w:snapToGrid w:val="0"/>
          <w:color w:val="FF0000"/>
          <w:sz w:val="28"/>
          <w:szCs w:val="28"/>
          <w:u w:val="none"/>
          <w:lang w:val="en-US" w:eastAsia="zh-CN"/>
        </w:rPr>
        <w:t>整</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投标保证金必须在投标截止时间前提交。投标人未按招标文件规定提交投标保证金的投标文件，招标人恕不接受其投标文件,投标无效。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投标保证金可以使用电汇、网上银行转帐的形式提交并写明投标编号及标段、联系方式，以便招标人核对查实。</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户名：江苏常熟农村商业银行股份有限公司（投标保证金）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账号：101290001022913950</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开户行：常熟农商银行营业部</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受理地点：江苏省常熟市新世纪大道58号；</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受理时间：法定工作日9:00～16:00，</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投标保证金交纳时间以投标保证金专用账户实际收到的时间为准。投标保证金的有效期应为在投标有效期满后28天内继续有效。</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（友情提示：为确保投标保证金能按时到帐，请各投标人按要求提前将投标保证金汇入专用账户内，以免造成投标无效。投标保证金到账查询电话：0512-52739210）</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不同投标人的投标保证金从同一单位或者个人的账户转出的，其投标文件无效。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如投标人在投标截止期后撤回投标，则投标保证金将作为违约金不予退还。</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投标人在投标过程中违反有关法律法规及招标文件规定，有下列情形之一的，其投标保证金不予退还，并按有关规定处理：</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（1）中标人在收到中标通知书后，无法定正当理由拒签合同协议书或未按招标文件规定提交履约保证金;</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（2）中标人的违法行为导致中标被依法确认无效的;</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（3）投标人在投标有效期内撤销或修改其投标文件;</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（4）其它违法违规行为，经查情况属实的。</w:t>
      </w:r>
    </w:p>
    <w:p>
      <w:pPr>
        <w:numPr>
          <w:ilvl w:val="0"/>
          <w:numId w:val="0"/>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7.</w:t>
      </w:r>
      <w:r>
        <w:rPr>
          <w:rFonts w:hint="eastAsia" w:ascii="仿宋_GB2312" w:hAnsi="仿宋_GB2312" w:eastAsia="仿宋_GB2312" w:cs="仿宋_GB2312"/>
          <w:snapToGrid w:val="0"/>
          <w:color w:val="000000"/>
          <w:sz w:val="28"/>
          <w:szCs w:val="28"/>
          <w:lang w:val="en-US" w:eastAsia="zh-CN"/>
        </w:rPr>
        <w:t>非中标候选人，在中标公示期结束后10个工作日内，可办理投标保证金的无息退还。</w:t>
      </w:r>
    </w:p>
    <w:p>
      <w:pPr>
        <w:numPr>
          <w:ilvl w:val="0"/>
          <w:numId w:val="0"/>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8.中标人收到中标通知书，并提交履约保证金后，</w:t>
      </w:r>
      <w:r>
        <w:rPr>
          <w:rFonts w:hint="eastAsia" w:ascii="仿宋_GB2312" w:hAnsi="仿宋_GB2312" w:eastAsia="仿宋_GB2312" w:cs="仿宋_GB2312"/>
          <w:snapToGrid w:val="0"/>
          <w:color w:val="000000"/>
          <w:sz w:val="28"/>
          <w:szCs w:val="28"/>
          <w:lang w:val="en-US" w:eastAsia="zh-CN"/>
        </w:rPr>
        <w:t>可办理投标保证金的无息退还</w:t>
      </w:r>
      <w:r>
        <w:rPr>
          <w:rFonts w:hint="eastAsia" w:ascii="仿宋_GB2312" w:hAnsi="仿宋_GB2312" w:eastAsia="仿宋_GB2312" w:cs="仿宋_GB2312"/>
          <w:snapToGrid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atLeast"/>
        <w:ind w:leftChars="200" w:right="0" w:rightChars="0"/>
        <w:jc w:val="left"/>
        <w:textAlignment w:val="auto"/>
        <w:outlineLvl w:val="1"/>
        <w:rPr>
          <w:rFonts w:hint="eastAsia" w:ascii="仿宋_GB2312" w:hAnsi="仿宋_GB2312" w:eastAsia="仿宋_GB2312" w:cs="仿宋_GB2312"/>
          <w:b/>
          <w:bCs/>
          <w:snapToGrid w:val="0"/>
          <w:color w:val="000000"/>
          <w:sz w:val="28"/>
          <w:szCs w:val="28"/>
        </w:rPr>
      </w:pP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开标和评标</w:t>
      </w:r>
    </w:p>
    <w:p>
      <w:pPr>
        <w:numPr>
          <w:ilvl w:val="0"/>
          <w:numId w:val="1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开标</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本次开标时间与开标地点由招标人另行通知。</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highlight w:val="none"/>
        </w:rPr>
        <w:t>所有投标人均应派代表到场参加开标，</w:t>
      </w:r>
      <w:r>
        <w:rPr>
          <w:rFonts w:hint="eastAsia" w:ascii="仿宋_GB2312" w:hAnsi="仿宋_GB2312" w:eastAsia="仿宋_GB2312" w:cs="仿宋_GB2312"/>
          <w:snapToGrid w:val="0"/>
          <w:color w:val="000000"/>
          <w:sz w:val="28"/>
          <w:szCs w:val="28"/>
        </w:rPr>
        <w:t>投标人代表应出示代表投标人参加开标的授权证明及本人身份证明。</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开标过程由投标人进行时间不超过30分钟的讲标，必须由此项目的实施</w:t>
      </w:r>
      <w:r>
        <w:rPr>
          <w:rFonts w:hint="eastAsia" w:ascii="仿宋_GB2312" w:hAnsi="仿宋_GB2312" w:eastAsia="仿宋_GB2312" w:cs="仿宋_GB2312"/>
          <w:snapToGrid w:val="0"/>
          <w:color w:val="000000"/>
          <w:sz w:val="28"/>
          <w:szCs w:val="28"/>
          <w:highlight w:val="none"/>
        </w:rPr>
        <w:t>项目经理讲标</w:t>
      </w:r>
      <w:r>
        <w:rPr>
          <w:rFonts w:hint="eastAsia" w:ascii="仿宋_GB2312" w:hAnsi="仿宋_GB2312" w:eastAsia="仿宋_GB2312" w:cs="仿宋_GB2312"/>
          <w:snapToGrid w:val="0"/>
          <w:color w:val="000000"/>
          <w:sz w:val="28"/>
          <w:szCs w:val="28"/>
          <w:highlight w:val="none"/>
          <w:lang w:eastAsia="zh-CN"/>
        </w:rPr>
        <w:t>，不得随意变更</w:t>
      </w:r>
      <w:r>
        <w:rPr>
          <w:rFonts w:hint="eastAsia" w:ascii="仿宋_GB2312" w:hAnsi="仿宋_GB2312" w:eastAsia="仿宋_GB2312" w:cs="仿宋_GB2312"/>
          <w:snapToGrid w:val="0"/>
          <w:color w:val="000000"/>
          <w:sz w:val="28"/>
          <w:szCs w:val="28"/>
        </w:rPr>
        <w:t>。</w:t>
      </w:r>
    </w:p>
    <w:p>
      <w:pPr>
        <w:numPr>
          <w:ilvl w:val="0"/>
          <w:numId w:val="1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评标因素</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招标人根据</w:t>
      </w:r>
      <w:r>
        <w:rPr>
          <w:rFonts w:hint="eastAsia" w:ascii="仿宋_GB2312" w:hAnsi="仿宋_GB2312" w:eastAsia="仿宋_GB2312" w:cs="仿宋_GB2312"/>
          <w:snapToGrid w:val="0"/>
          <w:color w:val="000000"/>
          <w:sz w:val="28"/>
          <w:szCs w:val="28"/>
          <w:lang w:eastAsia="zh-CN"/>
        </w:rPr>
        <w:t>包括但不限于以下</w:t>
      </w:r>
      <w:r>
        <w:rPr>
          <w:rFonts w:hint="eastAsia" w:ascii="仿宋_GB2312" w:hAnsi="仿宋_GB2312" w:eastAsia="仿宋_GB2312" w:cs="仿宋_GB2312"/>
          <w:snapToGrid w:val="0"/>
          <w:color w:val="000000"/>
          <w:sz w:val="28"/>
          <w:szCs w:val="28"/>
        </w:rPr>
        <w:t>投标条件进行比较：</w:t>
      </w:r>
    </w:p>
    <w:p>
      <w:pPr>
        <w:numPr>
          <w:ilvl w:val="0"/>
          <w:numId w:val="1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投标价格；</w:t>
      </w:r>
    </w:p>
    <w:p>
      <w:pPr>
        <w:numPr>
          <w:ilvl w:val="0"/>
          <w:numId w:val="1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投标人整体实力及成功案例总数；</w:t>
      </w:r>
    </w:p>
    <w:p>
      <w:pPr>
        <w:numPr>
          <w:ilvl w:val="0"/>
          <w:numId w:val="1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投标人技术方案、成功案例分析及产品特制设计；</w:t>
      </w:r>
    </w:p>
    <w:p>
      <w:pPr>
        <w:numPr>
          <w:ilvl w:val="0"/>
          <w:numId w:val="1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投标人技术实力（项目经理及项目成员、售后服务能力及项目人员配置</w:t>
      </w:r>
      <w:r>
        <w:rPr>
          <w:rFonts w:hint="eastAsia" w:ascii="仿宋_GB2312" w:hAnsi="仿宋_GB2312" w:eastAsia="仿宋_GB2312" w:cs="仿宋_GB2312"/>
          <w:snapToGrid w:val="0"/>
          <w:color w:val="000000"/>
          <w:sz w:val="28"/>
          <w:szCs w:val="28"/>
          <w:lang w:eastAsia="zh-CN"/>
        </w:rPr>
        <w:t>、</w:t>
      </w:r>
      <w:r>
        <w:rPr>
          <w:rFonts w:hint="eastAsia" w:ascii="仿宋_GB2312" w:hAnsi="仿宋_GB2312" w:eastAsia="仿宋_GB2312" w:cs="仿宋_GB2312"/>
          <w:snapToGrid w:val="0"/>
          <w:color w:val="000000"/>
          <w:sz w:val="28"/>
          <w:szCs w:val="28"/>
          <w:lang w:val="en-US" w:eastAsia="zh-CN"/>
        </w:rPr>
        <w:t>POC情况等</w:t>
      </w:r>
      <w:r>
        <w:rPr>
          <w:rFonts w:hint="eastAsia" w:ascii="仿宋_GB2312" w:hAnsi="仿宋_GB2312" w:eastAsia="仿宋_GB2312" w:cs="仿宋_GB2312"/>
          <w:snapToGrid w:val="0"/>
          <w:color w:val="000000"/>
          <w:sz w:val="28"/>
          <w:szCs w:val="28"/>
        </w:rPr>
        <w:t>）</w:t>
      </w:r>
      <w:r>
        <w:rPr>
          <w:rFonts w:hint="eastAsia" w:ascii="仿宋_GB2312" w:hAnsi="仿宋_GB2312" w:eastAsia="仿宋_GB2312" w:cs="仿宋_GB2312"/>
          <w:snapToGrid w:val="0"/>
          <w:color w:val="000000"/>
          <w:sz w:val="28"/>
          <w:szCs w:val="28"/>
          <w:lang w:eastAsia="zh-CN"/>
        </w:rPr>
        <w:t>；</w:t>
      </w:r>
    </w:p>
    <w:p>
      <w:pPr>
        <w:numPr>
          <w:ilvl w:val="0"/>
          <w:numId w:val="1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投标人的资信情况和履约能力；</w:t>
      </w:r>
    </w:p>
    <w:p>
      <w:pPr>
        <w:numPr>
          <w:ilvl w:val="0"/>
          <w:numId w:val="1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投标人提供的其他优惠条件。</w:t>
      </w:r>
    </w:p>
    <w:p>
      <w:pPr>
        <w:numPr>
          <w:ilvl w:val="0"/>
          <w:numId w:val="1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投标文件的审查</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开标后，招标人将组织审查投标文件是否完整，是否有计算错误，文件签署</w:t>
      </w:r>
      <w:r>
        <w:rPr>
          <w:rFonts w:hint="eastAsia" w:ascii="仿宋_GB2312" w:hAnsi="仿宋_GB2312" w:eastAsia="仿宋_GB2312" w:cs="仿宋_GB2312"/>
          <w:snapToGrid w:val="0"/>
          <w:color w:val="000000"/>
          <w:sz w:val="28"/>
          <w:szCs w:val="28"/>
          <w:lang w:eastAsia="zh-CN"/>
        </w:rPr>
        <w:t>是否符合要求</w:t>
      </w:r>
      <w:r>
        <w:rPr>
          <w:rFonts w:hint="eastAsia" w:ascii="仿宋_GB2312" w:hAnsi="仿宋_GB2312" w:eastAsia="仿宋_GB2312" w:cs="仿宋_GB2312"/>
          <w:snapToGrid w:val="0"/>
          <w:color w:val="000000"/>
          <w:sz w:val="28"/>
          <w:szCs w:val="28"/>
        </w:rPr>
        <w:t>。</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招标人将确定每一投标是否对招标文件的要求作出了实质性的响应，而没有明显的偏离或保留。</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招标人判断投标文件的响应性仅基于投标文件本身而不靠外部证据。</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招标人将拒绝被确定为非实质性响应的投标，投标人不能通过修正或撤销不符之处而使其投标成为实质性响应的投标。</w:t>
      </w:r>
    </w:p>
    <w:p>
      <w:pPr>
        <w:numPr>
          <w:ilvl w:val="0"/>
          <w:numId w:val="1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投标文件的澄清</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澄清应是书面的，并由法定代表人或其授权代理人签字。</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投标人的澄清文件是投标文件的组成部分，并取代投标文件中被澄清的部分。</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投标文件的澄清不得对投标内容进行实质性修改。</w:t>
      </w:r>
    </w:p>
    <w:p>
      <w:pPr>
        <w:numPr>
          <w:ilvl w:val="0"/>
          <w:numId w:val="1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评标工作</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招标人将按照公开、公平、公正的原则对待所有投标人。</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评标是招标工作的重要环节，评标工作在招标人内独立进行。</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招标人不承诺报价最低者为中标者。</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在投标、开标期间，投标人不得向招标人询问情况，不得进行旨在影响评标结果的活动，招标人保留对投标人进行疑问咨询的权力。</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在投标、评标过程中，如有投标人联合故意抬高报价或其他不正当行为，招标人有权中止投标或评标。</w:t>
      </w:r>
    </w:p>
    <w:p>
      <w:pPr>
        <w:numPr>
          <w:ilvl w:val="0"/>
          <w:numId w:val="17"/>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中标</w:t>
      </w:r>
      <w:r>
        <w:rPr>
          <w:rFonts w:hint="eastAsia" w:ascii="仿宋_GB2312" w:hAnsi="仿宋_GB2312" w:eastAsia="仿宋_GB2312" w:cs="仿宋_GB2312"/>
          <w:b/>
          <w:bCs/>
          <w:snapToGrid w:val="0"/>
          <w:color w:val="000000"/>
          <w:sz w:val="28"/>
          <w:szCs w:val="28"/>
          <w:lang w:eastAsia="zh-CN"/>
        </w:rPr>
        <w:t>、</w:t>
      </w:r>
      <w:r>
        <w:rPr>
          <w:rFonts w:hint="eastAsia" w:ascii="仿宋_GB2312" w:hAnsi="仿宋_GB2312" w:eastAsia="仿宋_GB2312" w:cs="仿宋_GB2312"/>
          <w:b/>
          <w:bCs/>
          <w:snapToGrid w:val="0"/>
          <w:color w:val="000000"/>
          <w:sz w:val="28"/>
          <w:szCs w:val="28"/>
          <w:lang w:val="en-US" w:eastAsia="zh-CN"/>
        </w:rPr>
        <w:t>履约保证金</w:t>
      </w:r>
      <w:r>
        <w:rPr>
          <w:rFonts w:hint="eastAsia" w:ascii="仿宋_GB2312" w:hAnsi="仿宋_GB2312" w:eastAsia="仿宋_GB2312" w:cs="仿宋_GB2312"/>
          <w:b/>
          <w:bCs/>
          <w:snapToGrid w:val="0"/>
          <w:color w:val="000000"/>
          <w:sz w:val="28"/>
          <w:szCs w:val="28"/>
        </w:rPr>
        <w:t>与签署合同</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（一）定标原则</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w:t>
      </w:r>
      <w:r>
        <w:rPr>
          <w:rFonts w:hint="eastAsia" w:ascii="仿宋_GB2312" w:hAnsi="仿宋_GB2312" w:eastAsia="仿宋_GB2312" w:cs="仿宋_GB2312"/>
          <w:color w:val="000000"/>
          <w:sz w:val="28"/>
          <w:szCs w:val="28"/>
        </w:rPr>
        <w:t>招标人不承诺向投标方披露招标过程中任何细节，包括中标或落标原因。</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（二）中标通知</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1.定标后，招标人将发出中标通知。</w:t>
      </w:r>
    </w:p>
    <w:p>
      <w:pPr>
        <w:adjustRightInd w:val="0"/>
        <w:ind w:firstLine="624"/>
        <w:rPr>
          <w:rFonts w:hint="eastAsia" w:ascii="仿宋_GB2312" w:hAnsi="仿宋_GB2312" w:eastAsia="仿宋_GB2312" w:cs="仿宋_GB2312"/>
          <w:snapToGrid w:val="0"/>
          <w:color w:val="000000"/>
          <w:sz w:val="28"/>
          <w:szCs w:val="28"/>
          <w:highlight w:val="yellow"/>
        </w:rPr>
      </w:pPr>
      <w:r>
        <w:rPr>
          <w:rFonts w:hint="eastAsia" w:ascii="仿宋_GB2312" w:hAnsi="仿宋_GB2312" w:eastAsia="仿宋_GB2312" w:cs="仿宋_GB2312"/>
          <w:snapToGrid w:val="0"/>
          <w:color w:val="000000"/>
          <w:sz w:val="28"/>
          <w:szCs w:val="28"/>
        </w:rPr>
        <w:t>2.对落标的投标人不再另行发出落标通知。</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3.中标通知将作为招标人与中标人签订合同的依据之一。</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（三）</w:t>
      </w:r>
      <w:r>
        <w:rPr>
          <w:rFonts w:hint="eastAsia" w:ascii="仿宋_GB2312" w:hAnsi="仿宋_GB2312" w:eastAsia="仿宋_GB2312" w:cs="仿宋_GB2312"/>
          <w:b w:val="0"/>
          <w:color w:val="000000"/>
          <w:sz w:val="28"/>
          <w:szCs w:val="28"/>
          <w:lang w:val="en-US" w:eastAsia="zh-CN"/>
        </w:rPr>
        <w:t>履约保证金</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1.中标人应当自收到中标通知书之日起30天内，提交合同价10%的履约保证金，并一次性足额存入履约保证金专用账户。</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2、履约保证金应当采用银行转账或电汇等缴纳方式，不直接收取现金、个人存折。</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3.履约保证金</w:t>
      </w:r>
      <w:r>
        <w:rPr>
          <w:rFonts w:hint="eastAsia" w:ascii="仿宋_GB2312" w:hAnsi="仿宋_GB2312" w:eastAsia="仿宋_GB2312" w:cs="仿宋_GB2312"/>
          <w:snapToGrid w:val="0"/>
          <w:color w:val="000000"/>
          <w:sz w:val="28"/>
          <w:szCs w:val="28"/>
          <w:lang w:val="en-US" w:eastAsia="zh-CN"/>
        </w:rPr>
        <w:t>在</w:t>
      </w:r>
      <w:r>
        <w:rPr>
          <w:rFonts w:hint="eastAsia" w:ascii="仿宋_GB2312" w:hAnsi="仿宋_GB2312" w:eastAsia="仿宋_GB2312" w:cs="仿宋_GB2312"/>
          <w:snapToGrid w:val="0"/>
          <w:color w:val="000000"/>
          <w:sz w:val="28"/>
          <w:szCs w:val="28"/>
        </w:rPr>
        <w:t>使用电汇、网上银行转帐的形式提交</w:t>
      </w:r>
      <w:r>
        <w:rPr>
          <w:rFonts w:hint="eastAsia" w:ascii="仿宋_GB2312" w:hAnsi="仿宋_GB2312" w:eastAsia="仿宋_GB2312" w:cs="仿宋_GB2312"/>
          <w:snapToGrid w:val="0"/>
          <w:color w:val="000000"/>
          <w:sz w:val="28"/>
          <w:szCs w:val="28"/>
          <w:lang w:val="en-US" w:eastAsia="zh-CN"/>
        </w:rPr>
        <w:t>时应</w:t>
      </w:r>
      <w:r>
        <w:rPr>
          <w:rFonts w:hint="eastAsia" w:ascii="仿宋_GB2312" w:hAnsi="仿宋_GB2312" w:eastAsia="仿宋_GB2312" w:cs="仿宋_GB2312"/>
          <w:snapToGrid w:val="0"/>
          <w:color w:val="000000"/>
          <w:sz w:val="28"/>
          <w:szCs w:val="28"/>
        </w:rPr>
        <w:t>写明投标编号及标段、联系方式，以便招标人核对查实。</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户名：江苏常熟农村商业银行股份有限公司（履约保证金）</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账号：101290001022913940</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开户行：常熟农商银行营业部</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受理地点：江苏省常熟市新世纪大道58号；</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时间：法定工作日9:00～16:00，交纳时间以履约保证金专用账户实际收到的时间为准。（友情提示：为确保履约保证金能按时到帐，中标人按要求提前将履约保证金汇入专用账户内，以免延误。履约保证金到账查询电话：0512-52739210）</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w:t>
      </w:r>
      <w:r>
        <w:rPr>
          <w:rFonts w:hint="eastAsia" w:ascii="仿宋_GB2312" w:hAnsi="仿宋_GB2312" w:eastAsia="仿宋_GB2312" w:cs="仿宋_GB2312"/>
          <w:b w:val="0"/>
          <w:snapToGrid w:val="0"/>
          <w:color w:val="000000"/>
          <w:sz w:val="28"/>
          <w:szCs w:val="28"/>
          <w:lang w:val="en-US" w:eastAsia="zh-CN"/>
        </w:rPr>
        <w:t>四</w:t>
      </w:r>
      <w:r>
        <w:rPr>
          <w:rFonts w:hint="eastAsia" w:ascii="仿宋_GB2312" w:hAnsi="仿宋_GB2312" w:eastAsia="仿宋_GB2312" w:cs="仿宋_GB2312"/>
          <w:b w:val="0"/>
          <w:snapToGrid w:val="0"/>
          <w:color w:val="000000"/>
          <w:sz w:val="28"/>
          <w:szCs w:val="28"/>
        </w:rPr>
        <w:t>）签订合同</w:t>
      </w:r>
    </w:p>
    <w:p>
      <w:pPr>
        <w:numPr>
          <w:ilvl w:val="0"/>
          <w:numId w:val="18"/>
        </w:numPr>
        <w:adjustRightInd w:val="0"/>
        <w:ind w:left="0" w:firstLine="425"/>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招标人将按照招标文件和投标人的投标文件与中标人签订书面合同，签订合同之前，双方需对合同的具体细节进行商谈。</w:t>
      </w:r>
    </w:p>
    <w:p>
      <w:pPr>
        <w:numPr>
          <w:ilvl w:val="0"/>
          <w:numId w:val="18"/>
        </w:numPr>
        <w:adjustRightInd w:val="0"/>
        <w:ind w:left="0" w:firstLine="425"/>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招标人对有关内容有权作出必要的细化和补充，但有关细化和补充不得背离招标文件和投标文件的实质性内容。</w:t>
      </w:r>
    </w:p>
    <w:p>
      <w:pPr>
        <w:numPr>
          <w:ilvl w:val="0"/>
          <w:numId w:val="18"/>
        </w:numPr>
        <w:adjustRightInd w:val="0"/>
        <w:ind w:left="0" w:firstLine="425"/>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招标文件、中标方的投标文件及其澄清文件等，均为签订合同的依据。</w:t>
      </w:r>
    </w:p>
    <w:p>
      <w:pPr>
        <w:tabs>
          <w:tab w:val="left" w:pos="425"/>
        </w:tabs>
        <w:adjustRightInd w:val="0"/>
        <w:rPr>
          <w:rFonts w:hint="eastAsia" w:ascii="仿宋_GB2312" w:hAnsi="仿宋_GB2312" w:eastAsia="仿宋_GB2312" w:cs="仿宋_GB2312"/>
          <w:snapToGrid w:val="0"/>
          <w:color w:val="000000"/>
          <w:sz w:val="28"/>
          <w:szCs w:val="28"/>
        </w:rPr>
      </w:pPr>
    </w:p>
    <w:p>
      <w:pPr>
        <w:tabs>
          <w:tab w:val="left" w:pos="425"/>
        </w:tabs>
        <w:adjustRightInd w:val="0"/>
        <w:rPr>
          <w:rFonts w:hint="eastAsia" w:ascii="仿宋_GB2312" w:hAnsi="仿宋_GB2312" w:eastAsia="仿宋_GB2312" w:cs="仿宋_GB2312"/>
          <w:snapToGrid w:val="0"/>
          <w:color w:val="000000"/>
          <w:sz w:val="28"/>
          <w:szCs w:val="28"/>
        </w:rPr>
      </w:pPr>
    </w:p>
    <w:p>
      <w:pPr>
        <w:tabs>
          <w:tab w:val="left" w:pos="425"/>
        </w:tabs>
        <w:adjustRightInd w:val="0"/>
        <w:rPr>
          <w:rFonts w:hint="eastAsia" w:ascii="仿宋_GB2312" w:hAnsi="仿宋_GB2312" w:eastAsia="仿宋_GB2312" w:cs="仿宋_GB2312"/>
          <w:snapToGrid w:val="0"/>
          <w:color w:val="000000"/>
          <w:sz w:val="28"/>
          <w:szCs w:val="28"/>
        </w:rPr>
      </w:pPr>
    </w:p>
    <w:p>
      <w:pPr>
        <w:pStyle w:val="2"/>
        <w:spacing w:after="240"/>
        <w:jc w:val="center"/>
        <w:rPr>
          <w:rFonts w:hint="eastAsia" w:ascii="仿宋_GB2312" w:hAnsi="仿宋_GB2312" w:eastAsia="仿宋_GB2312" w:cs="仿宋_GB2312"/>
          <w:b/>
          <w:sz w:val="28"/>
          <w:szCs w:val="28"/>
        </w:rPr>
      </w:pPr>
      <w:r>
        <w:rPr>
          <w:rFonts w:hint="eastAsia" w:ascii="仿宋_GB2312" w:hAnsi="仿宋_GB2312" w:eastAsia="仿宋_GB2312" w:cs="仿宋_GB2312"/>
          <w:b/>
          <w:snapToGrid w:val="0"/>
          <w:szCs w:val="28"/>
        </w:rPr>
        <w:t xml:space="preserve">第三部分  </w:t>
      </w:r>
      <w:r>
        <w:rPr>
          <w:rFonts w:hint="eastAsia" w:ascii="仿宋_GB2312" w:hAnsi="仿宋_GB2312" w:eastAsia="仿宋_GB2312" w:cs="仿宋_GB2312"/>
          <w:b/>
          <w:snapToGrid w:val="0"/>
          <w:szCs w:val="28"/>
        </w:rPr>
        <w:t>投标文件格式</w:t>
      </w:r>
    </w:p>
    <w:p>
      <w:pPr>
        <w:pStyle w:val="3"/>
        <w:spacing w:after="0" w:line="240" w:lineRule="auto"/>
        <w:jc w:val="left"/>
        <w:rPr>
          <w:rFonts w:hint="eastAsia" w:ascii="仿宋_GB2312" w:hAnsi="仿宋_GB2312" w:eastAsia="仿宋_GB2312" w:cs="仿宋_GB2312"/>
          <w:b w:val="0"/>
          <w:snapToGrid w:val="0"/>
          <w:sz w:val="28"/>
          <w:szCs w:val="28"/>
          <w:shd w:val="pct10" w:color="auto" w:fill="FFFFFF"/>
        </w:rPr>
      </w:pPr>
      <w:bookmarkStart w:id="1" w:name="_附件1：《投标书》"/>
      <w:bookmarkEnd w:id="1"/>
      <w:r>
        <w:rPr>
          <w:rFonts w:hint="eastAsia" w:ascii="仿宋_GB2312" w:hAnsi="仿宋_GB2312" w:eastAsia="仿宋_GB2312" w:cs="仿宋_GB2312"/>
          <w:b w:val="0"/>
          <w:snapToGrid w:val="0"/>
          <w:color w:val="000000"/>
          <w:sz w:val="28"/>
          <w:szCs w:val="28"/>
        </w:rPr>
        <w:t>附件1：投标书</w:t>
      </w:r>
    </w:p>
    <w:p>
      <w:pPr>
        <w:pStyle w:val="20"/>
        <w:adjustRightInd w:val="0"/>
        <w:jc w:val="center"/>
        <w:rPr>
          <w:rFonts w:hint="eastAsia" w:ascii="仿宋_GB2312" w:hAnsi="仿宋_GB2312" w:eastAsia="仿宋_GB2312" w:cs="仿宋_GB2312"/>
          <w:b/>
          <w:bCs/>
          <w:snapToGrid w:val="0"/>
          <w:color w:val="000000"/>
          <w:sz w:val="32"/>
          <w:szCs w:val="32"/>
        </w:rPr>
      </w:pPr>
      <w:r>
        <w:rPr>
          <w:rFonts w:hint="eastAsia" w:ascii="仿宋_GB2312" w:hAnsi="仿宋_GB2312" w:eastAsia="仿宋_GB2312" w:cs="仿宋_GB2312"/>
          <w:b/>
          <w:bCs/>
          <w:snapToGrid w:val="0"/>
          <w:color w:val="000000"/>
          <w:sz w:val="32"/>
          <w:szCs w:val="32"/>
        </w:rPr>
        <w:t>投  标  书</w:t>
      </w:r>
    </w:p>
    <w:p>
      <w:pPr>
        <w:pStyle w:val="20"/>
        <w:adjustRightInd w:val="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致：</w:t>
      </w:r>
      <w:r>
        <w:rPr>
          <w:rFonts w:hint="eastAsia" w:ascii="仿宋_GB2312" w:hAnsi="仿宋_GB2312" w:eastAsia="仿宋_GB2312" w:cs="仿宋_GB2312"/>
          <w:snapToGrid w:val="0"/>
          <w:color w:val="000000"/>
          <w:sz w:val="28"/>
        </w:rPr>
        <w:t>江苏常熟农村商业银行股份有限公司</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根据贵方</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val="en-US" w:eastAsia="zh-CN"/>
        </w:rPr>
        <w:t xml:space="preserve">       </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eastAsia="zh-CN"/>
        </w:rPr>
        <w:t>项目</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color w:val="000000"/>
          <w:sz w:val="28"/>
          <w:szCs w:val="28"/>
        </w:rPr>
        <w:t>招标书，投标人</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rPr>
        <w:t>（投标人名称）提供相关文件并做出以下承诺：</w:t>
      </w:r>
    </w:p>
    <w:p>
      <w:pPr>
        <w:numPr>
          <w:ilvl w:val="0"/>
          <w:numId w:val="19"/>
        </w:num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招标文件规定的全部文件正本一份，副本二份，电子文档一份。</w:t>
      </w:r>
    </w:p>
    <w:p>
      <w:pPr>
        <w:numPr>
          <w:ilvl w:val="0"/>
          <w:numId w:val="19"/>
        </w:num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投标人同意如下：</w:t>
      </w:r>
    </w:p>
    <w:p>
      <w:pPr>
        <w:numPr>
          <w:ilvl w:val="0"/>
          <w:numId w:val="20"/>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投标人完全接受招标文件中的内容，并将按招标文件的规定履行义务，按相关法律法规履行我方的全部责任。</w:t>
      </w:r>
    </w:p>
    <w:p>
      <w:pPr>
        <w:numPr>
          <w:ilvl w:val="0"/>
          <w:numId w:val="20"/>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投标人己详细审查全部招标文件，包括修改文件以及全部参考资料和有关附件，无其他不明事项。</w:t>
      </w:r>
    </w:p>
    <w:p>
      <w:pPr>
        <w:numPr>
          <w:ilvl w:val="0"/>
          <w:numId w:val="20"/>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投标人同意招标人要求的相关数据或资料，完全理解招标人在招标文件中确定的评标原则和程序，理解贵方不一定要接受最低报价的投标。</w:t>
      </w:r>
    </w:p>
    <w:p>
      <w:pPr>
        <w:numPr>
          <w:ilvl w:val="0"/>
          <w:numId w:val="20"/>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投标人承诺项目讲标人为本项目实施的项目经理，投标人应承诺项目实施过程中项目经理不做变更。如发生项目经理变更，招标人有权扣减项目中标金额的</w:t>
      </w:r>
      <w:r>
        <w:rPr>
          <w:rFonts w:hint="eastAsia" w:ascii="仿宋_GB2312" w:hAnsi="仿宋_GB2312" w:eastAsia="仿宋_GB2312" w:cs="仿宋_GB2312"/>
          <w:snapToGrid w:val="0"/>
          <w:color w:val="000000"/>
          <w:sz w:val="28"/>
          <w:szCs w:val="28"/>
          <w:highlight w:val="yellow"/>
          <w:u w:val="single"/>
        </w:rPr>
        <w:t>10</w:t>
      </w:r>
      <w:r>
        <w:rPr>
          <w:rFonts w:hint="eastAsia" w:ascii="仿宋_GB2312" w:hAnsi="仿宋_GB2312" w:eastAsia="仿宋_GB2312" w:cs="仿宋_GB2312"/>
          <w:snapToGrid w:val="0"/>
          <w:color w:val="000000"/>
          <w:sz w:val="28"/>
          <w:szCs w:val="28"/>
          <w:u w:val="single"/>
        </w:rPr>
        <w:t>%</w:t>
      </w:r>
      <w:r>
        <w:rPr>
          <w:rFonts w:hint="eastAsia" w:ascii="仿宋_GB2312" w:hAnsi="仿宋_GB2312" w:eastAsia="仿宋_GB2312" w:cs="仿宋_GB2312"/>
          <w:snapToGrid w:val="0"/>
          <w:color w:val="000000"/>
          <w:sz w:val="28"/>
          <w:szCs w:val="28"/>
        </w:rPr>
        <w:t>，</w:t>
      </w:r>
      <w:r>
        <w:rPr>
          <w:rFonts w:hint="eastAsia" w:ascii="仿宋_GB2312" w:hAnsi="仿宋_GB2312" w:eastAsia="仿宋_GB2312" w:cs="仿宋_GB2312"/>
          <w:sz w:val="28"/>
          <w:szCs w:val="28"/>
        </w:rPr>
        <w:t>及有权解除中标通知书或项目合同。</w:t>
      </w:r>
    </w:p>
    <w:p>
      <w:pPr>
        <w:numPr>
          <w:ilvl w:val="0"/>
          <w:numId w:val="20"/>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投标人承诺按项目投标书中项目组人员配制进场实施项目，如人员匹配率低于</w:t>
      </w:r>
      <w:r>
        <w:rPr>
          <w:rFonts w:hint="eastAsia" w:ascii="仿宋_GB2312" w:hAnsi="仿宋_GB2312" w:eastAsia="仿宋_GB2312" w:cs="仿宋_GB2312"/>
          <w:snapToGrid w:val="0"/>
          <w:color w:val="000000"/>
          <w:sz w:val="28"/>
          <w:szCs w:val="28"/>
          <w:highlight w:val="yellow"/>
          <w:u w:val="single"/>
        </w:rPr>
        <w:t>90%</w:t>
      </w:r>
      <w:r>
        <w:rPr>
          <w:rFonts w:hint="eastAsia" w:ascii="仿宋_GB2312" w:hAnsi="仿宋_GB2312" w:eastAsia="仿宋_GB2312" w:cs="仿宋_GB2312"/>
          <w:snapToGrid w:val="0"/>
          <w:color w:val="000000"/>
          <w:sz w:val="28"/>
          <w:szCs w:val="28"/>
        </w:rPr>
        <w:t>，招标人有权扣减项目中标金额的</w:t>
      </w:r>
      <w:r>
        <w:rPr>
          <w:rFonts w:hint="eastAsia" w:ascii="仿宋_GB2312" w:hAnsi="仿宋_GB2312" w:eastAsia="仿宋_GB2312" w:cs="仿宋_GB2312"/>
          <w:snapToGrid w:val="0"/>
          <w:color w:val="000000"/>
          <w:sz w:val="28"/>
          <w:szCs w:val="28"/>
          <w:highlight w:val="yellow"/>
          <w:u w:val="single"/>
        </w:rPr>
        <w:t>10</w:t>
      </w:r>
      <w:r>
        <w:rPr>
          <w:rFonts w:hint="eastAsia" w:ascii="仿宋_GB2312" w:hAnsi="仿宋_GB2312" w:eastAsia="仿宋_GB2312" w:cs="仿宋_GB2312"/>
          <w:snapToGrid w:val="0"/>
          <w:color w:val="000000"/>
          <w:sz w:val="28"/>
          <w:szCs w:val="28"/>
          <w:u w:val="single"/>
        </w:rPr>
        <w:t>%</w:t>
      </w:r>
      <w:r>
        <w:rPr>
          <w:rFonts w:hint="eastAsia" w:ascii="仿宋_GB2312" w:hAnsi="仿宋_GB2312" w:eastAsia="仿宋_GB2312" w:cs="仿宋_GB2312"/>
          <w:snapToGrid w:val="0"/>
          <w:color w:val="000000"/>
          <w:sz w:val="28"/>
          <w:szCs w:val="28"/>
        </w:rPr>
        <w:t>，</w:t>
      </w:r>
      <w:r>
        <w:rPr>
          <w:rFonts w:hint="eastAsia" w:ascii="仿宋_GB2312" w:hAnsi="仿宋_GB2312" w:eastAsia="仿宋_GB2312" w:cs="仿宋_GB2312"/>
          <w:sz w:val="28"/>
          <w:szCs w:val="28"/>
        </w:rPr>
        <w:t>及有权解除中标通知书或项目合同。</w:t>
      </w:r>
      <w:r>
        <w:rPr>
          <w:rFonts w:hint="eastAsia" w:ascii="仿宋_GB2312" w:hAnsi="仿宋_GB2312" w:eastAsia="仿宋_GB2312" w:cs="仿宋_GB2312"/>
          <w:snapToGrid w:val="0"/>
          <w:color w:val="000000"/>
          <w:sz w:val="28"/>
          <w:szCs w:val="28"/>
        </w:rPr>
        <w:t>（人员匹配率为：投标书匹配人员数量/投标书项目人员总数）</w:t>
      </w:r>
    </w:p>
    <w:p>
      <w:pPr>
        <w:numPr>
          <w:ilvl w:val="0"/>
          <w:numId w:val="20"/>
        </w:numPr>
        <w:adjustRightInd w:val="0"/>
        <w:ind w:left="567" w:leftChars="270" w:firstLine="273" w:firstLineChars="0"/>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val="0"/>
          <w:bCs w:val="0"/>
          <w:snapToGrid w:val="0"/>
          <w:color w:val="000000"/>
          <w:sz w:val="28"/>
          <w:szCs w:val="28"/>
          <w:highlight w:val="none"/>
          <w:lang w:eastAsia="zh-CN"/>
        </w:rPr>
        <w:t>投标人</w:t>
      </w:r>
      <w:r>
        <w:rPr>
          <w:rFonts w:hint="eastAsia" w:ascii="仿宋_GB2312" w:hAnsi="仿宋_GB2312" w:eastAsia="仿宋_GB2312" w:cs="仿宋_GB2312"/>
          <w:b w:val="0"/>
          <w:bCs w:val="0"/>
          <w:snapToGrid w:val="0"/>
          <w:color w:val="000000"/>
          <w:sz w:val="28"/>
          <w:szCs w:val="28"/>
          <w:highlight w:val="none"/>
        </w:rPr>
        <w:t>承诺</w:t>
      </w:r>
      <w:r>
        <w:rPr>
          <w:rFonts w:hint="eastAsia" w:ascii="仿宋_GB2312" w:hAnsi="仿宋_GB2312" w:eastAsia="仿宋_GB2312" w:cs="仿宋_GB2312"/>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_GB2312" w:hAnsi="仿宋_GB2312" w:eastAsia="仿宋_GB2312" w:cs="仿宋_GB2312"/>
          <w:b w:val="0"/>
          <w:bCs w:val="0"/>
          <w:snapToGrid w:val="0"/>
          <w:color w:val="000000"/>
          <w:sz w:val="28"/>
          <w:szCs w:val="28"/>
          <w:highlight w:val="none"/>
          <w:lang w:val="en-US" w:eastAsia="zh-CN"/>
        </w:rPr>
        <w:t>(技术标准规范在项目进场实施时提供，概要内容见附件《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》)并对附件《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》进行盖章确认。</w:t>
      </w:r>
    </w:p>
    <w:p>
      <w:pPr>
        <w:numPr>
          <w:ilvl w:val="0"/>
          <w:numId w:val="19"/>
        </w:num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投标人保证投标文件中所有关于投标资格的文件，证明陈述均是真实的、准确的。若有违背，投标人愿意承担由此而产生的一切后果。</w:t>
      </w:r>
    </w:p>
    <w:p>
      <w:pPr>
        <w:adjustRightInd w:val="0"/>
        <w:ind w:firstLine="700" w:firstLineChars="250"/>
        <w:jc w:val="left"/>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lang w:val="en-US" w:eastAsia="zh-CN"/>
        </w:rPr>
        <w:t>四、</w:t>
      </w:r>
      <w:r>
        <w:rPr>
          <w:rFonts w:hint="eastAsia" w:ascii="仿宋_GB2312" w:hAnsi="仿宋_GB2312" w:eastAsia="仿宋_GB2312" w:cs="仿宋_GB2312"/>
          <w:snapToGrid w:val="0"/>
          <w:color w:val="000000"/>
          <w:sz w:val="28"/>
          <w:szCs w:val="28"/>
        </w:rPr>
        <w:t>投标方</w:t>
      </w:r>
      <w:r>
        <w:rPr>
          <w:rFonts w:hint="eastAsia" w:ascii="仿宋_GB2312" w:hAnsi="仿宋_GB2312" w:eastAsia="仿宋_GB2312" w:cs="仿宋_GB2312"/>
          <w:color w:val="000000"/>
          <w:sz w:val="28"/>
        </w:rPr>
        <w:t>愿意按招标文件的规定交纳人民币</w:t>
      </w:r>
      <w:r>
        <w:rPr>
          <w:rFonts w:hint="eastAsia" w:ascii="仿宋_GB2312" w:hAnsi="仿宋_GB2312" w:eastAsia="仿宋_GB2312" w:cs="仿宋_GB2312"/>
          <w:color w:val="000000"/>
          <w:sz w:val="28"/>
          <w:lang w:val="en-US" w:eastAsia="zh-CN"/>
        </w:rPr>
        <w:t>(大写)</w:t>
      </w:r>
      <w:r>
        <w:rPr>
          <w:rFonts w:hint="eastAsia" w:ascii="仿宋_GB2312" w:hAnsi="仿宋_GB2312" w:eastAsia="仿宋_GB2312" w:cs="仿宋_GB2312"/>
          <w:color w:val="000000"/>
          <w:sz w:val="28"/>
          <w:u w:val="none"/>
          <w:lang w:val="en-US" w:eastAsia="zh-CN"/>
        </w:rPr>
        <w:t xml:space="preserve">   </w:t>
      </w:r>
      <w:r>
        <w:rPr>
          <w:rFonts w:hint="eastAsia" w:ascii="仿宋_GB2312" w:hAnsi="仿宋_GB2312" w:eastAsia="仿宋_GB2312" w:cs="仿宋_GB2312"/>
          <w:color w:val="000000"/>
          <w:sz w:val="28"/>
          <w:highlight w:val="none"/>
          <w:u w:val="single"/>
          <w:lang w:val="en-US" w:eastAsia="zh-CN"/>
        </w:rPr>
        <w:t xml:space="preserve">     元整</w:t>
      </w:r>
      <w:r>
        <w:rPr>
          <w:rFonts w:hint="eastAsia" w:ascii="仿宋_GB2312" w:hAnsi="仿宋_GB2312" w:eastAsia="仿宋_GB2312" w:cs="仿宋_GB2312"/>
          <w:color w:val="000000"/>
          <w:sz w:val="28"/>
        </w:rPr>
        <w:t>的投标保证金。如我方在投标有效期届满后撤回投标，或中标后拒绝遵守投标承诺、拒绝在规定的时间内与采购方签订合同，则贵行可以将我方交付的投标保证金作为违约金直接扣收。</w:t>
      </w:r>
    </w:p>
    <w:p>
      <w:pPr>
        <w:adjustRightInd w:val="0"/>
        <w:ind w:firstLine="700" w:firstLineChars="25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lang w:val="en-US" w:eastAsia="zh-CN"/>
        </w:rPr>
        <w:t>五、</w:t>
      </w:r>
      <w:r>
        <w:rPr>
          <w:rFonts w:hint="eastAsia" w:ascii="仿宋_GB2312" w:hAnsi="仿宋_GB2312" w:eastAsia="仿宋_GB2312" w:cs="仿宋_GB2312"/>
          <w:color w:val="000000"/>
          <w:sz w:val="28"/>
        </w:rPr>
        <w:t>如果我方被确定为中标人，我方愿意按招标文件的规定交纳履约保证金。且我方如无不可抗力，又未履行招标文件、投标文件和合同条款的，一经查实，我方愿意赔偿由此而造成的一切损失，并同意接受按招标文件的相关要求对我方进行的处理。</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rPr>
      </w:pP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与本投标有关的一切正式信函使用以下地址：</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电话：</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投标人法定代表人姓名、职务（印刷体）：</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投标人名称：</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单位公章：</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法定代表人或授权代理人签字：</w:t>
      </w:r>
      <w:r>
        <w:rPr>
          <w:rFonts w:hint="eastAsia" w:ascii="仿宋_GB2312" w:hAnsi="仿宋_GB2312" w:eastAsia="仿宋_GB2312" w:cs="仿宋_GB2312"/>
          <w:snapToGrid w:val="0"/>
          <w:sz w:val="28"/>
          <w:szCs w:val="28"/>
          <w:highlight w:val="none"/>
          <w:u w:val="single"/>
        </w:rPr>
        <w:t xml:space="preserve">                    </w:t>
      </w:r>
    </w:p>
    <w:p>
      <w:pPr>
        <w:autoSpaceDE w:val="0"/>
        <w:autoSpaceDN w:val="0"/>
        <w:adjustRightInd w:val="0"/>
        <w:ind w:firstLine="624"/>
        <w:jc w:val="left"/>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color w:val="00000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pStyle w:val="3"/>
        <w:spacing w:after="0" w:line="240" w:lineRule="auto"/>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br w:type="page"/>
      </w:r>
      <w:r>
        <w:rPr>
          <w:rFonts w:hint="eastAsia" w:ascii="仿宋_GB2312" w:hAnsi="仿宋_GB2312" w:eastAsia="仿宋_GB2312" w:cs="仿宋_GB2312"/>
          <w:b w:val="0"/>
          <w:snapToGrid w:val="0"/>
          <w:color w:val="000000"/>
          <w:sz w:val="28"/>
          <w:szCs w:val="28"/>
        </w:rPr>
        <w:t>附件2：法人代表授权委托书</w:t>
      </w:r>
    </w:p>
    <w:p>
      <w:pPr>
        <w:rPr>
          <w:rFonts w:hint="eastAsia" w:ascii="仿宋_GB2312" w:hAnsi="仿宋_GB2312" w:eastAsia="仿宋_GB2312" w:cs="仿宋_GB231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snapToGrid w:val="0"/>
          <w:color w:val="000000"/>
          <w:sz w:val="32"/>
          <w:szCs w:val="32"/>
        </w:rPr>
        <w:t>法人代表授权委托书</w:t>
      </w: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highlight w:val="none"/>
        </w:rPr>
        <w:t>（投标人公司名称）（投标人公司注册地点）</w:t>
      </w:r>
      <w:r>
        <w:rPr>
          <w:rFonts w:hint="eastAsia" w:ascii="仿宋_GB2312" w:hAnsi="仿宋_GB2312" w:eastAsia="仿宋_GB2312" w:cs="仿宋_GB2312"/>
          <w:bCs/>
          <w:snapToGrid w:val="0"/>
          <w:sz w:val="28"/>
          <w:szCs w:val="28"/>
        </w:rPr>
        <w:t>法定代表人</w:t>
      </w:r>
      <w:r>
        <w:rPr>
          <w:rFonts w:hint="eastAsia" w:ascii="仿宋_GB2312" w:hAnsi="仿宋_GB2312" w:eastAsia="仿宋_GB2312" w:cs="仿宋_GB2312"/>
          <w:bCs/>
          <w:snapToGrid w:val="0"/>
          <w:sz w:val="28"/>
          <w:szCs w:val="28"/>
          <w:highlight w:val="none"/>
        </w:rPr>
        <w:t>（姓名）经合法授权，特代表本公司（以下称“投标人”）任命：（姓名）为正式的合法代理人，并授权该代理人在有关的投标工作中，</w:t>
      </w:r>
      <w:r>
        <w:rPr>
          <w:rFonts w:hint="eastAsia" w:ascii="仿宋_GB2312" w:hAnsi="仿宋_GB2312" w:eastAsia="仿宋_GB2312" w:cs="仿宋_GB2312"/>
          <w:bCs/>
          <w:snapToGrid w:val="0"/>
          <w:sz w:val="28"/>
          <w:szCs w:val="28"/>
        </w:rPr>
        <w:t>以投标人的名义签署投标书、签署合同并处理与此有关的一切事务。</w:t>
      </w:r>
    </w:p>
    <w:p>
      <w:pPr>
        <w:autoSpaceDE w:val="0"/>
        <w:autoSpaceDN w:val="0"/>
        <w:adjustRightInd w:val="0"/>
        <w:spacing w:before="12" w:line="480" w:lineRule="auto"/>
        <w:ind w:left="600"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特签字如下，以资证明。</w:t>
      </w:r>
    </w:p>
    <w:p>
      <w:pPr>
        <w:autoSpaceDE w:val="0"/>
        <w:autoSpaceDN w:val="0"/>
        <w:adjustRightInd w:val="0"/>
        <w:spacing w:line="480" w:lineRule="auto"/>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ab/>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日期：</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spacing w:val="2"/>
          <w:kern w:val="0"/>
          <w:position w:val="-1"/>
          <w:sz w:val="28"/>
          <w:szCs w:val="28"/>
          <w:lang w:val="zh-CN"/>
        </w:rPr>
        <w:br w:type="page"/>
      </w:r>
      <w:r>
        <w:rPr>
          <w:rFonts w:hint="eastAsia" w:ascii="仿宋_GB2312" w:hAnsi="仿宋_GB2312" w:eastAsia="仿宋_GB2312" w:cs="仿宋_GB2312"/>
          <w:b w:val="0"/>
          <w:snapToGrid w:val="0"/>
          <w:color w:val="000000"/>
          <w:sz w:val="28"/>
          <w:szCs w:val="28"/>
        </w:rPr>
        <w:t>附件</w:t>
      </w:r>
      <w:r>
        <w:rPr>
          <w:rFonts w:hint="eastAsia" w:ascii="仿宋_GB2312" w:hAnsi="仿宋_GB2312" w:eastAsia="仿宋_GB2312" w:cs="仿宋_GB2312"/>
          <w:b w:val="0"/>
          <w:snapToGrid w:val="0"/>
          <w:color w:val="000000"/>
          <w:sz w:val="28"/>
          <w:szCs w:val="28"/>
          <w:lang w:eastAsia="zh-CN"/>
        </w:rPr>
        <w:t>３</w:t>
      </w:r>
      <w:r>
        <w:rPr>
          <w:rFonts w:hint="eastAsia" w:ascii="仿宋_GB2312" w:hAnsi="仿宋_GB2312" w:eastAsia="仿宋_GB2312" w:cs="仿宋_GB2312"/>
          <w:b w:val="0"/>
          <w:snapToGrid w:val="0"/>
          <w:color w:val="000000"/>
          <w:sz w:val="28"/>
          <w:szCs w:val="28"/>
          <w:lang w:val="en-US" w:eastAsia="zh-CN"/>
        </w:rPr>
        <w:t>：</w:t>
      </w:r>
      <w:r>
        <w:rPr>
          <w:rFonts w:hint="eastAsia" w:ascii="仿宋_GB2312" w:hAnsi="仿宋_GB2312" w:eastAsia="仿宋_GB2312" w:cs="仿宋_GB2312"/>
          <w:b w:val="0"/>
          <w:bCs/>
          <w:snapToGrid w:val="0"/>
          <w:color w:val="000000"/>
          <w:kern w:val="2"/>
          <w:sz w:val="28"/>
          <w:szCs w:val="28"/>
          <w:lang w:val="en-US" w:eastAsia="zh-CN" w:bidi="ar-SA"/>
        </w:rPr>
        <w:t>投标价格一览表【单独密封】</w:t>
      </w:r>
    </w:p>
    <w:p>
      <w:pPr>
        <w:jc w:val="center"/>
        <w:rPr>
          <w:rFonts w:hint="eastAsia" w:ascii="仿宋_GB2312" w:hAnsi="仿宋_GB2312" w:eastAsia="仿宋_GB2312" w:cs="仿宋_GB2312"/>
          <w:b/>
          <w:snapToGrid w:val="0"/>
          <w:color w:val="000000"/>
          <w:sz w:val="32"/>
          <w:szCs w:val="32"/>
        </w:rPr>
      </w:pPr>
      <w:r>
        <w:rPr>
          <w:rFonts w:hint="eastAsia" w:ascii="仿宋_GB2312" w:hAnsi="仿宋_GB2312" w:eastAsia="仿宋_GB2312" w:cs="仿宋_GB2312"/>
          <w:b/>
          <w:snapToGrid w:val="0"/>
          <w:color w:val="000000"/>
          <w:sz w:val="32"/>
          <w:szCs w:val="32"/>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投标价格</w:t>
      </w:r>
      <w:r>
        <w:rPr>
          <w:rFonts w:hint="eastAsia" w:ascii="仿宋_GB2312" w:hAnsi="仿宋_GB2312" w:eastAsia="仿宋_GB2312" w:cs="仿宋_GB2312"/>
          <w:b w:val="0"/>
          <w:bCs/>
          <w:snapToGrid w:val="0"/>
          <w:color w:val="000000"/>
          <w:kern w:val="2"/>
          <w:sz w:val="28"/>
          <w:szCs w:val="28"/>
          <w:lang w:val="en-US" w:eastAsia="zh-CN" w:bidi="ar-SA"/>
        </w:rPr>
        <w:t>一览·表</w:t>
      </w:r>
      <w:r>
        <w:rPr>
          <w:rFonts w:hint="eastAsia" w:ascii="仿宋_GB2312" w:hAnsi="仿宋_GB2312" w:eastAsia="仿宋_GB2312" w:cs="仿宋_GB2312"/>
          <w:bCs/>
          <w:snapToGrid w:val="0"/>
          <w:sz w:val="28"/>
          <w:szCs w:val="28"/>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项目总报价</w:t>
      </w:r>
      <w:r>
        <w:rPr>
          <w:rFonts w:hint="eastAsia" w:ascii="仿宋_GB2312" w:hAnsi="仿宋_GB2312" w:eastAsia="仿宋_GB2312" w:cs="仿宋_GB2312"/>
          <w:bCs/>
          <w:snapToGrid w:val="0"/>
          <w:sz w:val="28"/>
          <w:szCs w:val="28"/>
          <w:lang w:eastAsia="zh-CN"/>
        </w:rPr>
        <w:t>（人民币）</w:t>
      </w:r>
      <w:r>
        <w:rPr>
          <w:rFonts w:hint="eastAsia" w:ascii="仿宋_GB2312" w:hAnsi="仿宋_GB2312" w:eastAsia="仿宋_GB2312" w:cs="仿宋_GB2312"/>
          <w:bCs/>
          <w:snapToGrid w:val="0"/>
          <w:sz w:val="28"/>
          <w:szCs w:val="28"/>
        </w:rPr>
        <w:t>：</w:t>
      </w:r>
      <w:r>
        <w:rPr>
          <w:rFonts w:hint="eastAsia" w:ascii="仿宋_GB2312" w:hAnsi="仿宋_GB2312" w:eastAsia="仿宋_GB2312" w:cs="仿宋_GB2312"/>
          <w:bCs/>
          <w:snapToGrid w:val="0"/>
          <w:sz w:val="28"/>
          <w:szCs w:val="28"/>
          <w:u w:val="single"/>
        </w:rPr>
        <w:t xml:space="preserve">               </w:t>
      </w:r>
      <w:r>
        <w:rPr>
          <w:rFonts w:hint="eastAsia" w:ascii="仿宋_GB2312" w:hAnsi="仿宋_GB2312" w:eastAsia="仿宋_GB2312" w:cs="仿宋_GB2312"/>
          <w:bCs/>
          <w:snapToGrid w:val="0"/>
          <w:sz w:val="28"/>
          <w:szCs w:val="28"/>
          <w:u w:val="single"/>
          <w:lang w:val="en-US" w:eastAsia="zh-CN"/>
        </w:rPr>
        <w:t xml:space="preserve"> </w:t>
      </w:r>
      <w:r>
        <w:rPr>
          <w:rFonts w:hint="eastAsia" w:ascii="仿宋_GB2312" w:hAnsi="仿宋_GB2312" w:eastAsia="仿宋_GB2312" w:cs="仿宋_GB2312"/>
          <w:bCs/>
          <w:snapToGrid w:val="0"/>
          <w:sz w:val="28"/>
          <w:szCs w:val="28"/>
          <w:lang w:eastAsia="zh-CN"/>
        </w:rPr>
        <w:t>元</w:t>
      </w:r>
      <w:r>
        <w:rPr>
          <w:rFonts w:hint="eastAsia" w:ascii="仿宋_GB2312" w:hAnsi="仿宋_GB2312" w:eastAsia="仿宋_GB2312" w:cs="仿宋_GB2312"/>
          <w:bCs/>
          <w:snapToGrid w:val="0"/>
          <w:sz w:val="28"/>
          <w:szCs w:val="28"/>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bCs/>
          <w:snapToGrid w:val="0"/>
          <w:sz w:val="28"/>
          <w:szCs w:val="28"/>
        </w:rPr>
        <w:t>项目计划进场时间：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bCs/>
          <w:snapToGrid w:val="0"/>
          <w:sz w:val="28"/>
          <w:szCs w:val="28"/>
        </w:rPr>
        <w:t>预计项目上线时间：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项目计划总工期：</w:t>
      </w:r>
      <w:r>
        <w:rPr>
          <w:rFonts w:hint="eastAsia" w:ascii="仿宋_GB2312" w:hAnsi="仿宋_GB2312" w:eastAsia="仿宋_GB2312" w:cs="仿宋_GB2312"/>
          <w:bCs/>
          <w:snapToGrid w:val="0"/>
          <w:sz w:val="28"/>
          <w:szCs w:val="28"/>
          <w:u w:val="single"/>
        </w:rPr>
        <w:t xml:space="preserve">           </w:t>
      </w:r>
      <w:r>
        <w:rPr>
          <w:rFonts w:hint="eastAsia" w:ascii="仿宋_GB2312" w:hAnsi="仿宋_GB2312" w:eastAsia="仿宋_GB2312" w:cs="仿宋_GB2312"/>
          <w:bCs/>
          <w:snapToGrid w:val="0"/>
          <w:sz w:val="28"/>
          <w:szCs w:val="28"/>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人月单价:</w:t>
      </w:r>
      <w:r>
        <w:rPr>
          <w:rFonts w:hint="eastAsia" w:ascii="仿宋_GB2312" w:hAnsi="仿宋_GB2312" w:eastAsia="仿宋_GB2312" w:cs="仿宋_GB2312"/>
          <w:bCs/>
          <w:snapToGrid w:val="0"/>
          <w:sz w:val="28"/>
          <w:szCs w:val="28"/>
          <w:u w:val="single"/>
          <w:lang w:val="en-US" w:eastAsia="zh-CN"/>
        </w:rPr>
        <w:t xml:space="preserve">            </w:t>
      </w:r>
      <w:r>
        <w:rPr>
          <w:rFonts w:hint="eastAsia" w:ascii="仿宋_GB2312" w:hAnsi="仿宋_GB2312" w:eastAsia="仿宋_GB2312" w:cs="仿宋_GB2312"/>
          <w:bCs/>
          <w:snapToGrid w:val="0"/>
          <w:sz w:val="28"/>
          <w:szCs w:val="28"/>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lang w:eastAsia="zh-CN"/>
        </w:rPr>
      </w:pPr>
      <w:r>
        <w:rPr>
          <w:rFonts w:hint="eastAsia" w:ascii="仿宋_GB2312" w:hAnsi="仿宋_GB2312" w:eastAsia="仿宋_GB2312" w:cs="仿宋_GB2312"/>
          <w:bCs/>
          <w:snapToGrid w:val="0"/>
          <w:sz w:val="28"/>
          <w:szCs w:val="28"/>
          <w:lang w:eastAsia="zh-CN"/>
        </w:rPr>
        <w:t>报价明细：</w:t>
      </w:r>
    </w:p>
    <w:tbl>
      <w:tblPr>
        <w:tblStyle w:val="32"/>
        <w:tblW w:w="8618" w:type="dxa"/>
        <w:jc w:val="center"/>
        <w:tblInd w:w="-351"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yellow"/>
              </w:rPr>
            </w:pPr>
            <w:r>
              <w:rPr>
                <w:rFonts w:hint="eastAsia" w:ascii="仿宋_GB2312" w:hAnsi="仿宋_GB2312" w:eastAsia="仿宋_GB2312" w:cs="仿宋_GB2312"/>
                <w:b/>
                <w:bCs/>
                <w:sz w:val="21"/>
                <w:szCs w:val="21"/>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数</w:t>
            </w:r>
            <w:r>
              <w:rPr>
                <w:rFonts w:hint="eastAsia" w:ascii="仿宋_GB2312" w:hAnsi="仿宋_GB2312" w:eastAsia="仿宋_GB2312" w:cs="仿宋_GB2312"/>
                <w:b/>
                <w:bCs/>
                <w:sz w:val="21"/>
                <w:szCs w:val="21"/>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i/>
                <w:iCs/>
                <w:sz w:val="20"/>
                <w:szCs w:val="20"/>
                <w:highlight w:val="none"/>
                <w:lang w:eastAsia="zh-CN"/>
              </w:rPr>
              <w:t>软件名称</w:t>
            </w:r>
            <w:r>
              <w:rPr>
                <w:rFonts w:hint="eastAsia" w:ascii="仿宋_GB2312" w:hAnsi="仿宋_GB2312" w:eastAsia="仿宋_GB2312" w:cs="仿宋_GB2312"/>
                <w:i/>
                <w:iCs/>
                <w:sz w:val="20"/>
                <w:szCs w:val="20"/>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iCs/>
                <w:sz w:val="20"/>
                <w:szCs w:val="20"/>
                <w:highlight w:val="none"/>
                <w:lang w:eastAsia="zh-CN"/>
              </w:rPr>
              <w:t>咨询</w:t>
            </w:r>
            <w:r>
              <w:rPr>
                <w:rFonts w:hint="eastAsia" w:ascii="仿宋_GB2312" w:hAnsi="仿宋_GB2312" w:eastAsia="仿宋_GB2312" w:cs="仿宋_GB2312"/>
                <w:i/>
                <w:iCs/>
                <w:sz w:val="20"/>
                <w:szCs w:val="20"/>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系统（含软、硬件等）应提供免费维护期为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至少1年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维护期内提供（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eastAsia="zh-CN"/>
        </w:rPr>
        <w:t>驻场</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远程支持 </w:t>
      </w:r>
      <w:r>
        <w:rPr>
          <w:rFonts w:hint="eastAsia" w:ascii="仿宋_GB2312" w:hAnsi="仿宋_GB2312" w:eastAsia="仿宋_GB2312" w:cs="仿宋_GB2312"/>
          <w:sz w:val="28"/>
          <w:szCs w:val="28"/>
          <w:highlight w:val="none"/>
          <w:lang w:eastAsia="zh-CN"/>
        </w:rPr>
        <w:t>□其他</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）支持服务，</w:t>
      </w:r>
      <w:r>
        <w:rPr>
          <w:rFonts w:hint="eastAsia" w:ascii="仿宋_GB2312" w:hAnsi="仿宋_GB2312" w:eastAsia="仿宋_GB2312" w:cs="仿宋_GB2312"/>
          <w:sz w:val="28"/>
          <w:szCs w:val="28"/>
          <w:highlight w:val="none"/>
        </w:rPr>
        <w:t>维护期满后，每年度系统维护服务费用不超过项目总报价的10 %</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软件类系统，系统上线</w:t>
      </w:r>
      <w:r>
        <w:rPr>
          <w:rFonts w:hint="eastAsia" w:ascii="仿宋_GB2312" w:hAnsi="仿宋_GB2312" w:eastAsia="仿宋_GB2312" w:cs="仿宋_GB2312"/>
          <w:sz w:val="28"/>
          <w:szCs w:val="28"/>
          <w:highlight w:val="yellow"/>
          <w:u w:val="single"/>
        </w:rPr>
        <w:t>2</w:t>
      </w:r>
      <w:r>
        <w:rPr>
          <w:rFonts w:hint="eastAsia" w:ascii="仿宋_GB2312" w:hAnsi="仿宋_GB2312" w:eastAsia="仿宋_GB2312" w:cs="仿宋_GB2312"/>
          <w:sz w:val="28"/>
          <w:szCs w:val="28"/>
          <w:highlight w:val="none"/>
        </w:rPr>
        <w:t>年内，</w:t>
      </w:r>
      <w:r>
        <w:rPr>
          <w:rFonts w:hint="eastAsia" w:ascii="仿宋_GB2312" w:hAnsi="仿宋_GB2312" w:eastAsia="仿宋_GB2312" w:cs="仿宋_GB2312"/>
          <w:sz w:val="28"/>
          <w:szCs w:val="28"/>
          <w:highlight w:val="none"/>
          <w:lang w:eastAsia="zh-CN"/>
        </w:rPr>
        <w:t>由于功能新增</w:t>
      </w:r>
      <w:r>
        <w:rPr>
          <w:rFonts w:hint="eastAsia" w:ascii="仿宋_GB2312" w:hAnsi="仿宋_GB2312" w:eastAsia="仿宋_GB2312" w:cs="仿宋_GB2312"/>
          <w:sz w:val="28"/>
          <w:szCs w:val="28"/>
          <w:highlight w:val="none"/>
        </w:rPr>
        <w:t>经双发协商同意需要计算工作量的，</w:t>
      </w:r>
      <w:r>
        <w:rPr>
          <w:rFonts w:hint="eastAsia" w:ascii="仿宋_GB2312" w:hAnsi="仿宋_GB2312" w:eastAsia="仿宋_GB2312" w:cs="仿宋_GB2312"/>
          <w:sz w:val="28"/>
          <w:szCs w:val="28"/>
          <w:highlight w:val="none"/>
          <w:lang w:eastAsia="zh-CN"/>
        </w:rPr>
        <w:t>工作量</w:t>
      </w:r>
      <w:r>
        <w:rPr>
          <w:rFonts w:hint="eastAsia" w:ascii="仿宋_GB2312" w:hAnsi="仿宋_GB2312" w:eastAsia="仿宋_GB2312" w:cs="仿宋_GB2312"/>
          <w:sz w:val="28"/>
          <w:szCs w:val="28"/>
          <w:highlight w:val="none"/>
        </w:rPr>
        <w:t>报价不超</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/人月</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投标人应在项目计划进场时间安排人员进场，未在期限内完成人员进场，每延迟一日，应向招标人支付相当于项目中标总金额万分之</w:t>
      </w:r>
      <w:r>
        <w:rPr>
          <w:rFonts w:hint="eastAsia" w:ascii="仿宋_GB2312" w:hAnsi="仿宋_GB2312" w:eastAsia="仿宋_GB2312" w:cs="仿宋_GB2312"/>
          <w:sz w:val="28"/>
          <w:szCs w:val="28"/>
          <w:highlight w:val="yellow"/>
          <w:u w:val="single"/>
          <w:lang w:eastAsia="zh-CN"/>
        </w:rPr>
        <w:t>五</w:t>
      </w:r>
      <w:r>
        <w:rPr>
          <w:rFonts w:hint="eastAsia" w:ascii="仿宋_GB2312" w:hAnsi="仿宋_GB2312" w:eastAsia="仿宋_GB2312" w:cs="仿宋_GB2312"/>
          <w:sz w:val="28"/>
          <w:szCs w:val="28"/>
        </w:rPr>
        <w:t>的违约金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ab/>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日期：</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val="0"/>
          <w:snapToGrid w:val="0"/>
          <w:color w:val="000000"/>
          <w:sz w:val="28"/>
          <w:szCs w:val="28"/>
        </w:rPr>
        <w:t>附件4：投标人情况简介</w:t>
      </w:r>
    </w:p>
    <w:p>
      <w:pPr>
        <w:jc w:val="center"/>
        <w:rPr>
          <w:rFonts w:hint="eastAsia" w:ascii="仿宋_GB2312" w:hAnsi="仿宋_GB2312" w:eastAsia="仿宋_GB2312" w:cs="仿宋_GB2312"/>
          <w:b/>
          <w:snapToGrid w:val="0"/>
          <w:color w:val="000000"/>
          <w:sz w:val="32"/>
          <w:szCs w:val="32"/>
        </w:rPr>
      </w:pPr>
      <w:r>
        <w:rPr>
          <w:rFonts w:hint="eastAsia" w:ascii="仿宋_GB2312" w:hAnsi="仿宋_GB2312" w:eastAsia="仿宋_GB2312" w:cs="仿宋_GB2312"/>
          <w:b/>
          <w:snapToGrid w:val="0"/>
          <w:color w:val="000000"/>
          <w:sz w:val="32"/>
          <w:szCs w:val="32"/>
        </w:rPr>
        <w:t>投标人情况简介</w:t>
      </w:r>
    </w:p>
    <w:p>
      <w:pPr>
        <w:pStyle w:val="20"/>
        <w:numPr>
          <w:ilvl w:val="0"/>
          <w:numId w:val="21"/>
        </w:numPr>
        <w:adjustRightInd w:val="0"/>
        <w:ind w:left="0" w:leftChars="0" w:firstLine="0"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投标人名称：</w:t>
      </w:r>
      <w:r>
        <w:rPr>
          <w:rFonts w:hint="eastAsia" w:ascii="仿宋_GB2312" w:hAnsi="仿宋_GB2312" w:eastAsia="仿宋_GB2312" w:cs="仿宋_GB2312"/>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地址：</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邮编：</w:t>
      </w:r>
      <w:r>
        <w:rPr>
          <w:rFonts w:hint="eastAsia" w:ascii="仿宋_GB2312" w:hAnsi="仿宋_GB2312" w:eastAsia="仿宋_GB2312" w:cs="仿宋_GB2312"/>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传真／电话：</w:t>
      </w:r>
      <w:r>
        <w:rPr>
          <w:rFonts w:hint="eastAsia" w:ascii="仿宋_GB2312" w:hAnsi="仿宋_GB2312" w:eastAsia="仿宋_GB2312" w:cs="仿宋_GB2312"/>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成立日期或注册日期：</w:t>
      </w:r>
      <w:r>
        <w:rPr>
          <w:rFonts w:hint="eastAsia" w:ascii="仿宋_GB2312" w:hAnsi="仿宋_GB2312" w:eastAsia="仿宋_GB2312" w:cs="仿宋_GB2312"/>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法定代表人或主要负责人姓名：</w:t>
      </w:r>
      <w:r>
        <w:rPr>
          <w:rFonts w:hint="eastAsia" w:ascii="仿宋_GB2312" w:hAnsi="仿宋_GB2312" w:eastAsia="仿宋_GB2312" w:cs="仿宋_GB2312"/>
          <w:snapToGrid w:val="0"/>
          <w:color w:val="000000"/>
          <w:sz w:val="28"/>
          <w:szCs w:val="28"/>
          <w:u w:val="single"/>
        </w:rPr>
        <w:t xml:space="preserve">                   </w:t>
      </w:r>
    </w:p>
    <w:p>
      <w:pPr>
        <w:pStyle w:val="20"/>
        <w:numPr>
          <w:ilvl w:val="0"/>
          <w:numId w:val="21"/>
        </w:numPr>
        <w:adjustRightInd w:val="0"/>
        <w:ind w:left="0" w:leftChars="0" w:firstLine="0"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u w:val="single"/>
        </w:rPr>
      </w:pPr>
      <w:r>
        <w:rPr>
          <w:rFonts w:hint="eastAsia" w:ascii="仿宋_GB2312" w:hAnsi="仿宋_GB2312" w:eastAsia="仿宋_GB2312" w:cs="仿宋_GB2312"/>
          <w:snapToGrid w:val="0"/>
          <w:color w:val="000000"/>
          <w:sz w:val="28"/>
          <w:szCs w:val="28"/>
        </w:rPr>
        <w:t>注册资本：</w:t>
      </w:r>
      <w:r>
        <w:rPr>
          <w:rFonts w:hint="eastAsia" w:ascii="仿宋_GB2312" w:hAnsi="仿宋_GB2312" w:eastAsia="仿宋_GB2312" w:cs="仿宋_GB2312"/>
          <w:snapToGrid w:val="0"/>
          <w:color w:val="000000"/>
          <w:sz w:val="28"/>
          <w:szCs w:val="28"/>
          <w:u w:val="single"/>
        </w:rPr>
        <w:t xml:space="preserve">                      </w:t>
      </w:r>
    </w:p>
    <w:p>
      <w:pPr>
        <w:pStyle w:val="20"/>
        <w:numPr>
          <w:ilvl w:val="0"/>
          <w:numId w:val="21"/>
        </w:numPr>
        <w:adjustRightInd w:val="0"/>
        <w:ind w:left="0" w:leftChars="0" w:firstLine="0"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业绩或服务的情况：</w:t>
      </w:r>
    </w:p>
    <w:p>
      <w:pPr>
        <w:pStyle w:val="20"/>
        <w:keepNext w:val="0"/>
        <w:keepLines w:val="0"/>
        <w:pageBreakBefore w:val="0"/>
        <w:widowControl w:val="0"/>
        <w:numPr>
          <w:ilvl w:val="0"/>
          <w:numId w:val="22"/>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4"/>
          <w:szCs w:val="24"/>
          <w:u w:val="single"/>
          <w:lang w:val="en-US" w:eastAsia="zh-CN"/>
        </w:rPr>
      </w:pPr>
      <w:r>
        <w:rPr>
          <w:rFonts w:hint="eastAsia" w:ascii="仿宋_GB2312" w:hAnsi="仿宋_GB2312" w:eastAsia="仿宋_GB2312" w:cs="仿宋_GB2312"/>
          <w:snapToGrid w:val="0"/>
          <w:color w:val="000000"/>
          <w:sz w:val="24"/>
          <w:szCs w:val="24"/>
          <w:lang w:eastAsia="zh-CN"/>
        </w:rPr>
        <w:t>成立</w:t>
      </w:r>
      <w:r>
        <w:rPr>
          <w:rFonts w:hint="eastAsia" w:ascii="仿宋_GB2312" w:hAnsi="仿宋_GB2312" w:eastAsia="仿宋_GB2312" w:cs="仿宋_GB2312"/>
          <w:snapToGrid w:val="0"/>
          <w:color w:val="000000"/>
          <w:sz w:val="24"/>
          <w:szCs w:val="24"/>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napToGrid w:val="0"/>
          <w:color w:val="000000"/>
          <w:sz w:val="24"/>
          <w:szCs w:val="24"/>
          <w:u w:val="single"/>
          <w:lang w:val="en-US" w:eastAsia="zh-CN"/>
        </w:rPr>
      </w:pPr>
    </w:p>
    <w:p>
      <w:pPr>
        <w:pStyle w:val="20"/>
        <w:keepNext w:val="0"/>
        <w:keepLines w:val="0"/>
        <w:pageBreakBefore w:val="0"/>
        <w:widowControl w:val="0"/>
        <w:numPr>
          <w:ilvl w:val="0"/>
          <w:numId w:val="22"/>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p>
    <w:p>
      <w:pPr>
        <w:pStyle w:val="20"/>
        <w:tabs>
          <w:tab w:val="left" w:pos="360"/>
        </w:tabs>
        <w:adjustRightInd w:val="0"/>
        <w:rPr>
          <w:rFonts w:hint="eastAsia" w:ascii="仿宋_GB2312" w:hAnsi="仿宋_GB2312" w:eastAsia="仿宋_GB2312" w:cs="仿宋_GB2312"/>
          <w:snapToGrid w:val="0"/>
          <w:color w:val="000000"/>
          <w:sz w:val="28"/>
          <w:szCs w:val="28"/>
        </w:rPr>
      </w:pPr>
    </w:p>
    <w:p>
      <w:pPr>
        <w:pStyle w:val="20"/>
        <w:numPr>
          <w:ilvl w:val="0"/>
          <w:numId w:val="21"/>
        </w:numPr>
        <w:adjustRightInd w:val="0"/>
        <w:ind w:left="0" w:leftChars="0" w:firstLine="0" w:firstLineChars="0"/>
        <w:rPr>
          <w:rFonts w:hint="eastAsia" w:ascii="仿宋_GB2312" w:hAnsi="仿宋_GB2312" w:eastAsia="仿宋_GB2312" w:cs="仿宋_GB2312"/>
          <w:snapToGrid w:val="0"/>
          <w:color w:val="000000"/>
          <w:sz w:val="28"/>
          <w:szCs w:val="28"/>
          <w:u w:val="single"/>
          <w:lang w:val="en-US" w:eastAsia="zh-CN"/>
        </w:rPr>
      </w:pPr>
      <w:r>
        <w:rPr>
          <w:rFonts w:hint="eastAsia" w:ascii="仿宋_GB2312" w:hAnsi="仿宋_GB2312" w:eastAsia="仿宋_GB2312" w:cs="仿宋_GB2312"/>
          <w:snapToGrid w:val="0"/>
          <w:color w:val="000000"/>
          <w:sz w:val="28"/>
          <w:szCs w:val="28"/>
        </w:rPr>
        <w:t xml:space="preserve">所属集团（如有的话）： </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u w:val="single"/>
          <w:lang w:val="en-US" w:eastAsia="zh-CN"/>
        </w:rPr>
        <w:t xml:space="preserve">         </w:t>
      </w:r>
    </w:p>
    <w:p>
      <w:pPr>
        <w:pStyle w:val="20"/>
        <w:numPr>
          <w:ilvl w:val="0"/>
          <w:numId w:val="21"/>
        </w:numPr>
        <w:adjustRightInd w:val="0"/>
        <w:ind w:left="0" w:leftChars="0" w:firstLine="0" w:firstLineChars="0"/>
        <w:rPr>
          <w:rFonts w:hint="eastAsia" w:ascii="仿宋_GB2312" w:hAnsi="仿宋_GB2312" w:eastAsia="仿宋_GB2312" w:cs="仿宋_GB2312"/>
          <w:snapToGrid w:val="0"/>
          <w:color w:val="000000"/>
          <w:kern w:val="2"/>
          <w:sz w:val="28"/>
          <w:szCs w:val="28"/>
          <w:lang w:val="en-US" w:eastAsia="zh-CN" w:bidi="ar-SA"/>
        </w:rPr>
      </w:pPr>
      <w:r>
        <w:rPr>
          <w:rFonts w:hint="eastAsia" w:ascii="仿宋_GB2312" w:hAnsi="仿宋_GB2312" w:eastAsia="仿宋_GB2312" w:cs="仿宋_GB2312"/>
          <w:snapToGrid w:val="0"/>
          <w:color w:val="000000"/>
          <w:sz w:val="28"/>
          <w:szCs w:val="28"/>
          <w:lang w:val="en-US" w:eastAsia="zh-CN"/>
        </w:rPr>
        <w:t xml:space="preserve">其它情况（组织、机构、技术力量、参与本产品的实施人员情况等）  </w:t>
      </w:r>
      <w:r>
        <w:rPr>
          <w:rFonts w:hint="eastAsia" w:ascii="仿宋_GB2312" w:hAnsi="仿宋_GB2312" w:eastAsia="仿宋_GB2312" w:cs="仿宋_GB2312"/>
          <w:snapToGrid w:val="0"/>
          <w:color w:val="000000"/>
          <w:kern w:val="2"/>
          <w:sz w:val="28"/>
          <w:szCs w:val="28"/>
          <w:lang w:val="en-US" w:eastAsia="zh-CN" w:bidi="ar-SA"/>
        </w:rPr>
        <w:t xml:space="preserve"> </w:t>
      </w:r>
    </w:p>
    <w:p>
      <w:pPr>
        <w:pStyle w:val="20"/>
        <w:numPr>
          <w:ilvl w:val="0"/>
          <w:numId w:val="0"/>
        </w:numPr>
        <w:adjustRightInd w:val="0"/>
        <w:ind w:leftChars="-166"/>
        <w:rPr>
          <w:rFonts w:hint="eastAsia" w:ascii="仿宋_GB2312" w:hAnsi="仿宋_GB2312" w:eastAsia="仿宋_GB2312" w:cs="仿宋_GB2312"/>
          <w:snapToGrid w:val="0"/>
          <w:color w:val="000000"/>
          <w:kern w:val="2"/>
          <w:sz w:val="28"/>
          <w:szCs w:val="28"/>
          <w:lang w:val="en-US" w:eastAsia="zh-CN" w:bidi="ar-SA"/>
        </w:rPr>
      </w:pPr>
    </w:p>
    <w:p>
      <w:pPr>
        <w:pStyle w:val="20"/>
        <w:widowControl w:val="0"/>
        <w:numPr>
          <w:ilvl w:val="0"/>
          <w:numId w:val="0"/>
        </w:numPr>
        <w:adjustRightInd w:val="0"/>
        <w:jc w:val="both"/>
        <w:rPr>
          <w:rFonts w:hint="eastAsia" w:ascii="仿宋_GB2312" w:hAnsi="仿宋_GB2312" w:eastAsia="仿宋_GB2312" w:cs="仿宋_GB2312"/>
          <w:snapToGrid w:val="0"/>
          <w:color w:val="000000"/>
          <w:kern w:val="2"/>
          <w:sz w:val="28"/>
          <w:szCs w:val="28"/>
          <w:lang w:val="en-US" w:eastAsia="zh-CN" w:bidi="ar-SA"/>
        </w:rPr>
      </w:pPr>
    </w:p>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z w:val="28"/>
          <w:szCs w:val="28"/>
        </w:rPr>
      </w:pPr>
      <w:r>
        <w:rPr>
          <w:rFonts w:hint="eastAsia" w:ascii="仿宋_GB2312" w:hAnsi="仿宋_GB2312" w:eastAsia="仿宋_GB2312" w:cs="仿宋_GB2312"/>
          <w:snapToGrid w:val="0"/>
          <w:color w:val="000000"/>
          <w:kern w:val="2"/>
          <w:sz w:val="28"/>
          <w:szCs w:val="28"/>
          <w:lang w:val="en-US" w:eastAsia="zh-CN" w:bidi="ar-SA"/>
        </w:rPr>
        <w:br w:type="page"/>
      </w:r>
      <w:r>
        <w:rPr>
          <w:rFonts w:hint="eastAsia" w:ascii="仿宋_GB2312" w:hAnsi="仿宋_GB2312" w:eastAsia="仿宋_GB2312" w:cs="仿宋_GB2312"/>
          <w:b w:val="0"/>
          <w:snapToGrid w:val="0"/>
          <w:color w:val="000000"/>
          <w:kern w:val="2"/>
          <w:sz w:val="28"/>
          <w:szCs w:val="28"/>
          <w:lang w:val="en-US" w:eastAsia="zh-CN" w:bidi="ar-SA"/>
        </w:rPr>
        <w:t>附件5：外包服务供应商风险信息表</w:t>
      </w:r>
    </w:p>
    <w:p>
      <w:pPr>
        <w:jc w:val="center"/>
        <w:rPr>
          <w:rFonts w:hint="eastAsia" w:ascii="仿宋_GB2312" w:hAnsi="仿宋_GB2312" w:eastAsia="仿宋_GB2312" w:cs="仿宋_GB2312"/>
          <w:b/>
          <w:snapToGrid w:val="0"/>
          <w:color w:val="000000"/>
          <w:sz w:val="32"/>
          <w:szCs w:val="32"/>
        </w:rPr>
      </w:pPr>
      <w:r>
        <w:rPr>
          <w:rFonts w:hint="eastAsia" w:ascii="仿宋_GB2312" w:hAnsi="仿宋_GB2312" w:eastAsia="仿宋_GB2312" w:cs="仿宋_GB2312"/>
          <w:b/>
          <w:snapToGrid w:val="0"/>
          <w:color w:val="000000"/>
          <w:sz w:val="32"/>
          <w:szCs w:val="32"/>
        </w:rPr>
        <w:t>外包服务供应商风险信息表</w:t>
      </w:r>
    </w:p>
    <w:tbl>
      <w:tblPr>
        <w:tblStyle w:val="32"/>
        <w:tblW w:w="833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2451" w:type="dxa"/>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服务供应商名称</w:t>
            </w:r>
          </w:p>
        </w:tc>
        <w:tc>
          <w:tcPr>
            <w:tcW w:w="5880" w:type="dxa"/>
            <w:vAlign w:val="center"/>
          </w:tcPr>
          <w:p>
            <w:pPr>
              <w:spacing w:line="320" w:lineRule="exact"/>
              <w:jc w:val="lef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8331" w:type="dxa"/>
            <w:gridSpan w:val="2"/>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trPr>
        <w:tc>
          <w:tcPr>
            <w:tcW w:w="2451" w:type="dxa"/>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1.服务供应商成立时间及其发展历程</w:t>
            </w:r>
          </w:p>
        </w:tc>
        <w:tc>
          <w:tcPr>
            <w:tcW w:w="5880" w:type="dxa"/>
            <w:vAlign w:val="top"/>
          </w:tcPr>
          <w:p>
            <w:pPr>
              <w:spacing w:line="320" w:lineRule="exact"/>
              <w:jc w:val="lef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2.服务供应商的主要股东</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3.服务供应商的主要经营范围</w:t>
            </w:r>
          </w:p>
        </w:tc>
        <w:tc>
          <w:tcPr>
            <w:tcW w:w="5880" w:type="dxa"/>
            <w:shd w:val="clear" w:color="auto" w:fill="FFFFFF"/>
            <w:vAlign w:val="top"/>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4.服务供应商的企业性质（内资企业/港澳台商投资企业/外商投资企业/境外企业）</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5.服务供应商近三年资产规模、主要收入、盈利状况</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6.服务供应商目前员工人数、人员学历结构</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7.列举</w:t>
            </w:r>
            <w:r>
              <w:rPr>
                <w:rFonts w:hint="eastAsia" w:ascii="仿宋_GB2312" w:hAnsi="仿宋_GB2312" w:eastAsia="仿宋_GB2312" w:cs="仿宋_GB2312"/>
                <w:sz w:val="24"/>
                <w:szCs w:val="24"/>
              </w:rPr>
              <w:t>同业提供类似性质和规模的服务经验</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8.列举</w:t>
            </w:r>
            <w:r>
              <w:rPr>
                <w:rFonts w:hint="eastAsia" w:ascii="仿宋_GB2312" w:hAnsi="仿宋_GB2312" w:eastAsia="仿宋_GB2312" w:cs="仿宋_GB2312"/>
                <w:sz w:val="24"/>
                <w:szCs w:val="24"/>
              </w:rPr>
              <w:t>在最近三年的经营活动中违法违纪等不良记录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如有</w:t>
            </w:r>
            <w:r>
              <w:rPr>
                <w:rFonts w:hint="eastAsia" w:ascii="仿宋_GB2312" w:hAnsi="仿宋_GB2312" w:eastAsia="仿宋_GB2312" w:cs="仿宋_GB2312"/>
                <w:sz w:val="24"/>
                <w:szCs w:val="24"/>
                <w:lang w:eastAsia="zh-CN"/>
              </w:rPr>
              <w:t>）</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9.提供</w:t>
            </w:r>
            <w:r>
              <w:rPr>
                <w:rFonts w:hint="eastAsia" w:ascii="仿宋_GB2312" w:hAnsi="仿宋_GB2312" w:eastAsia="仿宋_GB2312" w:cs="仿宋_GB2312"/>
                <w:sz w:val="24"/>
                <w:szCs w:val="24"/>
              </w:rPr>
              <w:t>服务供应商业务连续性安排和应急预案</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restart"/>
            <w:vAlign w:val="top"/>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服务供应商</w:t>
            </w:r>
            <w:r>
              <w:rPr>
                <w:rFonts w:hint="eastAsia" w:ascii="仿宋_GB2312" w:hAnsi="仿宋_GB2312" w:eastAsia="仿宋_GB2312" w:cs="仿宋_GB2312"/>
                <w:sz w:val="24"/>
                <w:szCs w:val="24"/>
                <w:lang w:eastAsia="zh-CN"/>
              </w:rPr>
              <w:t>（盖章）：</w:t>
            </w:r>
            <w:r>
              <w:rPr>
                <w:rFonts w:hint="eastAsia" w:ascii="仿宋_GB2312" w:hAnsi="仿宋_GB2312" w:eastAsia="仿宋_GB2312" w:cs="仿宋_GB2312"/>
                <w:sz w:val="24"/>
                <w:szCs w:val="24"/>
              </w:rPr>
              <w:t xml:space="preserve">                                </w:t>
            </w: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4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rPr>
            </w:pPr>
          </w:p>
        </w:tc>
      </w:tr>
    </w:tbl>
    <w:p>
      <w:pPr>
        <w:rPr>
          <w:rFonts w:hint="eastAsia" w:ascii="仿宋_GB2312" w:hAnsi="仿宋_GB2312" w:eastAsia="仿宋_GB2312" w:cs="仿宋_GB2312"/>
          <w:sz w:val="28"/>
          <w:szCs w:val="28"/>
        </w:rPr>
      </w:pP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lang w:val="en-US" w:eastAsia="zh-CN" w:bidi="ar-SA"/>
        </w:rPr>
      </w:pPr>
      <w:r>
        <w:rPr>
          <w:rFonts w:hint="eastAsia" w:ascii="仿宋_GB2312" w:hAnsi="仿宋_GB2312" w:eastAsia="仿宋_GB2312" w:cs="仿宋_GB2312"/>
          <w:b w:val="0"/>
          <w:bCs w:val="0"/>
          <w:snapToGrid w:val="0"/>
          <w:color w:val="000000"/>
          <w:kern w:val="2"/>
          <w:sz w:val="28"/>
          <w:szCs w:val="28"/>
          <w:lang w:val="en-US" w:eastAsia="zh-CN" w:bidi="ar-SA"/>
        </w:rPr>
        <w:t>附件6：业务需求/实施范围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预估实施周期：xx月xx天（按工作日测算）</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预估实施计划：</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需求阶段：</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8</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bCs/>
          <w:snapToGrid w:val="0"/>
          <w:sz w:val="24"/>
          <w:szCs w:val="24"/>
        </w:rPr>
        <w:tab/>
      </w:r>
      <w:r>
        <w:rPr>
          <w:rFonts w:hint="eastAsia" w:ascii="仿宋_GB2312" w:hAnsi="仿宋_GB2312" w:eastAsia="仿宋_GB2312" w:cs="仿宋_GB2312"/>
          <w:bCs/>
          <w:snapToGrid w:val="0"/>
          <w:sz w:val="24"/>
          <w:szCs w:val="24"/>
          <w:lang w:eastAsia="zh-CN"/>
        </w:rPr>
        <w:t>至</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 2022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9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设计阶段：</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9</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5</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bCs/>
          <w:snapToGrid w:val="0"/>
          <w:sz w:val="24"/>
          <w:szCs w:val="24"/>
        </w:rPr>
        <w:tab/>
      </w:r>
      <w:r>
        <w:rPr>
          <w:rFonts w:hint="eastAsia" w:ascii="仿宋_GB2312" w:hAnsi="仿宋_GB2312" w:eastAsia="仿宋_GB2312" w:cs="仿宋_GB2312"/>
          <w:bCs/>
          <w:snapToGrid w:val="0"/>
          <w:sz w:val="24"/>
          <w:szCs w:val="24"/>
          <w:lang w:eastAsia="zh-CN"/>
        </w:rPr>
        <w:t>至</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 2022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9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9</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z w:val="24"/>
          <w:szCs w:val="24"/>
          <w:lang w:val="en-US" w:eastAsia="zh-CN"/>
        </w:rPr>
        <w:t>开发阶段：</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9</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bCs/>
          <w:snapToGrid w:val="0"/>
          <w:sz w:val="24"/>
          <w:szCs w:val="24"/>
        </w:rPr>
        <w:tab/>
      </w:r>
      <w:r>
        <w:rPr>
          <w:rFonts w:hint="eastAsia" w:ascii="仿宋_GB2312" w:hAnsi="仿宋_GB2312" w:eastAsia="仿宋_GB2312" w:cs="仿宋_GB2312"/>
          <w:bCs/>
          <w:snapToGrid w:val="0"/>
          <w:sz w:val="24"/>
          <w:szCs w:val="24"/>
          <w:lang w:eastAsia="zh-CN"/>
        </w:rPr>
        <w:t>至</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10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14</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snapToGrid w:val="0"/>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z w:val="24"/>
          <w:szCs w:val="24"/>
          <w:lang w:val="en-US" w:eastAsia="zh-CN"/>
        </w:rPr>
        <w:t>测试阶段：</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10</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17</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bCs/>
          <w:snapToGrid w:val="0"/>
          <w:sz w:val="24"/>
          <w:szCs w:val="24"/>
        </w:rPr>
        <w:tab/>
      </w:r>
      <w:r>
        <w:rPr>
          <w:rFonts w:hint="eastAsia" w:ascii="仿宋_GB2312" w:hAnsi="仿宋_GB2312" w:eastAsia="仿宋_GB2312" w:cs="仿宋_GB2312"/>
          <w:bCs/>
          <w:snapToGrid w:val="0"/>
          <w:sz w:val="24"/>
          <w:szCs w:val="24"/>
          <w:lang w:eastAsia="zh-CN"/>
        </w:rPr>
        <w:t>至</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12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w:t>
      </w:r>
      <w:r>
        <w:rPr>
          <w:rFonts w:hint="eastAsia" w:ascii="仿宋_GB2312" w:hAnsi="仿宋_GB2312" w:eastAsia="仿宋_GB2312" w:cs="仿宋_GB2312"/>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z w:val="24"/>
          <w:szCs w:val="24"/>
          <w:lang w:val="en-US" w:eastAsia="zh-CN"/>
        </w:rPr>
        <w:t>验收阶段：</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5</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bCs/>
          <w:snapToGrid w:val="0"/>
          <w:sz w:val="24"/>
          <w:szCs w:val="24"/>
        </w:rPr>
        <w:tab/>
      </w:r>
      <w:r>
        <w:rPr>
          <w:rFonts w:hint="eastAsia" w:ascii="仿宋_GB2312" w:hAnsi="仿宋_GB2312" w:eastAsia="仿宋_GB2312" w:cs="仿宋_GB2312"/>
          <w:bCs/>
          <w:snapToGrid w:val="0"/>
          <w:sz w:val="24"/>
          <w:szCs w:val="24"/>
          <w:lang w:eastAsia="zh-CN"/>
        </w:rPr>
        <w:t>至</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2022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12</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14</w:t>
      </w:r>
      <w:r>
        <w:rPr>
          <w:rFonts w:hint="eastAsia" w:ascii="仿宋_GB2312" w:hAnsi="仿宋_GB2312" w:eastAsia="仿宋_GB2312" w:cs="仿宋_GB2312"/>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z w:val="24"/>
          <w:szCs w:val="24"/>
          <w:lang w:val="en-US" w:eastAsia="zh-CN"/>
        </w:rPr>
        <w:t>项目上线：</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15</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项目需求</w:t>
      </w:r>
    </w:p>
    <w:p>
      <w:pPr>
        <w:numPr>
          <w:ilvl w:val="0"/>
          <w:numId w:val="24"/>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整体需求</w:t>
      </w:r>
    </w:p>
    <w:tbl>
      <w:tblPr>
        <w:tblStyle w:val="32"/>
        <w:tblW w:w="85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30"/>
        <w:gridCol w:w="3030"/>
        <w:gridCol w:w="3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功能项/模块</w:t>
            </w:r>
          </w:p>
        </w:tc>
        <w:tc>
          <w:tcPr>
            <w:tcW w:w="3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具体功能点</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系统部署</w:t>
            </w:r>
          </w:p>
        </w:tc>
        <w:tc>
          <w:tcPr>
            <w:tcW w:w="3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接入内网</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支持私有化部署，实现行内内网接入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硬件支持</w:t>
            </w:r>
          </w:p>
        </w:tc>
        <w:tc>
          <w:tcPr>
            <w:tcW w:w="3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支持PC端、移动端接入</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支持柜员使用电脑、厅堂智能机具、移动展业PAD、手机等硬件，并能按照行内要求进行适配开发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嵌入形式</w:t>
            </w:r>
          </w:p>
        </w:tc>
        <w:tc>
          <w:tcPr>
            <w:tcW w:w="3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多渠道嵌入</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支持网页、微信公众号、微信小程序、APP、电脑应用程序等形式的接入，并能与行内软件实现整合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后台管理</w:t>
            </w:r>
          </w:p>
        </w:tc>
        <w:tc>
          <w:tcPr>
            <w:tcW w:w="3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具备统一后管系统</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具备统一的后管系统，功能完善、支持多法人共同使用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业务场景</w:t>
            </w:r>
          </w:p>
        </w:tc>
        <w:tc>
          <w:tcPr>
            <w:tcW w:w="3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支持多场景双录</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支持自助双录、实时双录等多种场景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调用形式</w:t>
            </w:r>
          </w:p>
        </w:tc>
        <w:tc>
          <w:tcPr>
            <w:tcW w:w="3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具备成熟基础产品或支持集成</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5"/>
              </w:numPr>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厂商自身具备前端应用程序；</w:t>
            </w:r>
          </w:p>
          <w:p>
            <w:pPr>
              <w:keepNext w:val="0"/>
              <w:keepLines w:val="0"/>
              <w:widowControl/>
              <w:numPr>
                <w:ilvl w:val="0"/>
                <w:numId w:val="25"/>
              </w:numPr>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支持与行内各类系统集成，以调用形式实现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历史数据迁移（加分项）</w:t>
            </w:r>
          </w:p>
        </w:tc>
        <w:tc>
          <w:tcPr>
            <w:tcW w:w="3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支持历史数据调阅</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能解决老系统视频数据的调阅问题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稳定性</w:t>
            </w:r>
          </w:p>
        </w:tc>
        <w:tc>
          <w:tcPr>
            <w:tcW w:w="3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系统及功能稳定</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双录的视频及质量能完全保存，且保证双录质量，具备实时及事后质检能力</w:t>
            </w:r>
          </w:p>
        </w:tc>
      </w:tr>
    </w:tbl>
    <w:p>
      <w:pPr>
        <w:numPr>
          <w:ilvl w:val="0"/>
          <w:numId w:val="24"/>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前端功能</w:t>
      </w:r>
    </w:p>
    <w:tbl>
      <w:tblPr>
        <w:tblStyle w:val="32"/>
        <w:tblW w:w="85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20"/>
        <w:gridCol w:w="6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功能点</w:t>
            </w:r>
          </w:p>
        </w:tc>
        <w:tc>
          <w:tcPr>
            <w:tcW w:w="6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信息录入/采集</w:t>
            </w:r>
          </w:p>
        </w:tc>
        <w:tc>
          <w:tcPr>
            <w:tcW w:w="6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支持双录时客户姓名、证件号码、交易类型等信息要素的采集录入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流程及话术展示</w:t>
            </w:r>
          </w:p>
        </w:tc>
        <w:tc>
          <w:tcPr>
            <w:tcW w:w="6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前端界面具备双录流程、话术等信息展示，并有交易结果的返回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支持质检</w:t>
            </w:r>
          </w:p>
        </w:tc>
        <w:tc>
          <w:tcPr>
            <w:tcW w:w="6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前端具备人脸识别、人脸同框等实时质检技术，或支持行内现有技术的接入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交易情况查询</w:t>
            </w:r>
          </w:p>
        </w:tc>
        <w:tc>
          <w:tcPr>
            <w:tcW w:w="6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在接入移动展业平台的情况下，支持双录交易的查询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拓展性</w:t>
            </w:r>
          </w:p>
        </w:tc>
        <w:tc>
          <w:tcPr>
            <w:tcW w:w="6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结合我行业务需求，支持前端用户端的开发改造</w:t>
            </w:r>
          </w:p>
        </w:tc>
      </w:tr>
    </w:tbl>
    <w:p>
      <w:pPr>
        <w:numPr>
          <w:ilvl w:val="-1"/>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3.后管功能</w:t>
      </w:r>
    </w:p>
    <w:tbl>
      <w:tblPr>
        <w:tblStyle w:val="32"/>
        <w:tblW w:w="85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89"/>
        <w:gridCol w:w="1935"/>
        <w:gridCol w:w="5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功能项/模块</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具体功能点</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操作使用</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登录/登出</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1.支持密码、指纹、人脸等多种登录登出方式</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2.支持与行内系统对接，以行内系统登录方式，前台无感嵌入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机构管理</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机构信息维护</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1.支持机构的新增、删除及维护，最好实现与行内核心机构统计系统的同步；</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2.支持单个/批量维护；</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3.支持至少三级的机构层级设置，并支持新增、维护及删除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人员管理</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人员信息维护</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1.支持人员的新增、维护、停用及删除，最好实现与行内员工中心实现同步；</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2.支持单个/批量维护，维护字段包括工号、姓名、归属机构、角色、权限等字段；</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3.支持登录方式、密码修改/重置等基础功能维护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人员角色维护</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1.支持角色或岗位的新增、维护及删除</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2.支持角色菜单的新增、维护及删除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人员权限维护</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1.支持给不同角色及岗位，配置不同权限</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2.支持角色菜单式配置，也支持部分功能模块的单独开放/取消配置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人员资质管理</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1.支持人员的资质建立、申请、审核及查询等功能；</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2.支持人员证书管理，包括证书上传、下载、调阅、修改等，支持图片/文档等形式上传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产品/业务管理</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话术设定</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1.支持对单个业务的话术设定、维护、停用及删除；</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2.支持话术模版导入，支持多种产品或业务的话术设定、维护、停用及删除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流程设定</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支持双录流程的自主设定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产品管理</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支持双录产品的设定、维护、停用及删除等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业务管理</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支持双录业务的设定、维护、停用及删除等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录像管理</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录像检索</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1.按照人员机构归属，查询归属机构/本人名下的双录业务；</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2.支持根据日期、业务、产品、客户信息等各类条件的录像检索；</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3.支持录像的在线播放或下载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离线上传</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1.支持mp4、mov等多种视频格式的视频文件上传</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2.实现与行内客户信息、交易系统对接，支持视频要素上传的交易校验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双录质检</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1.支持对双录完整度、流程节点进行双录；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2.支持语音识别、人脸识别、同框等实时质检技术的行内能力接入</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3.有整体双录质检概况展示</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4.支持异常记录的异常记录、质检不合格、质检失败等视频的检索定位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系统设置</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操作日志</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支持查询人员系统登录、操作、下载等操作日志信息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水印设置</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支持双录业务水印设置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双录数据管理</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1.支持系统自动上传至行内</w:t>
            </w:r>
            <w:r>
              <w:rPr>
                <w:rFonts w:hint="eastAsia" w:ascii="仿宋_GB2312" w:hAnsi="仿宋_GB2312" w:eastAsia="仿宋_GB2312" w:cs="仿宋_GB2312"/>
                <w:i w:val="0"/>
                <w:color w:val="000000"/>
                <w:kern w:val="0"/>
                <w:sz w:val="22"/>
                <w:szCs w:val="22"/>
                <w:u w:val="none"/>
                <w:lang w:val="en-US" w:eastAsia="zh-CN" w:bidi="ar"/>
              </w:rPr>
              <w:t>2022年双录平台采购项目</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2.支持手动上传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数据同步</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支持手动同步员工、机构、客户等信息数据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数据报表</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数据统计</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1.支持从业务/产品、机构、操作员、质检结果、渠道等多维度统计双录业务情况</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2.支持质检预警、操作异常等数据统计</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3.支持按行内需求设计、开发报表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报表导出</w:t>
            </w:r>
          </w:p>
        </w:tc>
        <w:tc>
          <w:tcPr>
            <w:tcW w:w="5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支持数据报表的导出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投标厂商应结合实施经验，配合行方丰富优化业务场景，并根据行方要求开发实施。</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1、投标产品应提供多法人解决方案，包括但不限于招标方兴福系投资管理行及村镇银行等多法人模式。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2、投标产品涉及相关研发过程应接入招标方DevOps平台。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3、投标产品涉及相关系统单元测试覆盖率应达到60%以上，覆盖率测算数据由招标方提供。</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4、投标方应在产品上线后提供</w:t>
      </w:r>
      <w:r>
        <w:rPr>
          <w:rFonts w:hint="eastAsia" w:ascii="仿宋_GB2312" w:hAnsi="仿宋_GB2312" w:eastAsia="仿宋_GB2312" w:cs="仿宋_GB2312"/>
          <w:sz w:val="28"/>
          <w:szCs w:val="28"/>
          <w:highlight w:val="none"/>
          <w:lang w:val="en-US" w:eastAsia="zh-CN"/>
        </w:rPr>
        <w:t>合同约定范围内的全部源码（含</w:t>
      </w:r>
      <w:r>
        <w:rPr>
          <w:rFonts w:hint="eastAsia" w:ascii="仿宋_GB2312" w:hAnsi="仿宋_GB2312" w:eastAsia="仿宋_GB2312" w:cs="仿宋_GB2312"/>
          <w:sz w:val="28"/>
          <w:szCs w:val="28"/>
          <w:lang w:val="en-US" w:eastAsia="zh-CN"/>
        </w:rPr>
        <w:t>必须的代码注释）、项目文档（包括但不限于技术白皮书、需求文档、设计（数据库、接口）文档、部署手册、维护手册）等。</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（一）所需软件清单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yellow"/>
                <w:lang w:eastAsia="zh-CN"/>
              </w:rPr>
            </w:pPr>
            <w:r>
              <w:rPr>
                <w:rFonts w:hint="eastAsia" w:ascii="仿宋_GB2312" w:hAnsi="仿宋_GB2312" w:eastAsia="仿宋_GB2312" w:cs="仿宋_GB2312"/>
                <w:b/>
                <w:bCs/>
                <w:sz w:val="21"/>
                <w:szCs w:val="21"/>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i w:val="0"/>
                <w:iCs w:val="0"/>
                <w:sz w:val="20"/>
                <w:szCs w:val="20"/>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所需硬件清单</w:t>
      </w:r>
    </w:p>
    <w:tbl>
      <w:tblPr>
        <w:tblStyle w:val="33"/>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bl>
    <w:p>
      <w:pPr>
        <w:numPr>
          <w:ilvl w:val="0"/>
          <w:numId w:val="0"/>
        </w:numPr>
        <w:adjustRightInd w:val="0"/>
        <w:ind w:leftChars="270"/>
        <w:rPr>
          <w:rFonts w:hint="eastAsia" w:ascii="仿宋_GB2312" w:hAnsi="仿宋_GB2312" w:eastAsia="仿宋_GB2312" w:cs="仿宋_GB2312"/>
          <w:snapToGrid w:val="0"/>
          <w:color w:val="000000"/>
          <w:sz w:val="22"/>
          <w:szCs w:val="22"/>
          <w:lang w:val="en-US" w:eastAsia="zh-CN"/>
        </w:rPr>
      </w:pP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系统架构规划</w:t>
      </w:r>
    </w:p>
    <w:p>
      <w:pPr>
        <w:numPr>
          <w:ilvl w:val="0"/>
          <w:numId w:val="27"/>
        </w:numPr>
        <w:adjustRightInd w:val="0"/>
        <w:ind w:left="567" w:leftChars="270" w:firstLine="273" w:firstLineChars="0"/>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eastAsia="zh-CN"/>
        </w:rPr>
        <w:t>系统架构图</w:t>
      </w:r>
      <w:r>
        <w:rPr>
          <w:rFonts w:hint="eastAsia" w:ascii="仿宋_GB2312" w:hAnsi="仿宋_GB2312" w:eastAsia="仿宋_GB2312" w:cs="仿宋_GB2312"/>
          <w:snapToGrid w:val="0"/>
          <w:color w:val="000000"/>
          <w:sz w:val="22"/>
          <w:szCs w:val="22"/>
          <w:highlight w:val="none"/>
          <w:lang w:eastAsia="zh-CN"/>
        </w:rPr>
        <w:t>（我行已建立</w:t>
      </w:r>
      <w:r>
        <w:rPr>
          <w:rFonts w:hint="eastAsia" w:ascii="仿宋_GB2312" w:hAnsi="仿宋_GB2312" w:eastAsia="仿宋_GB2312" w:cs="仿宋_GB2312"/>
          <w:snapToGrid w:val="0"/>
          <w:color w:val="000000"/>
          <w:sz w:val="22"/>
          <w:szCs w:val="22"/>
          <w:highlight w:val="none"/>
          <w:lang w:val="en-US" w:eastAsia="zh-CN"/>
        </w:rPr>
        <w:t>ESB企业服务总线、数据总线、业务中台）</w:t>
      </w:r>
      <w:r>
        <w:rPr>
          <w:rFonts w:hint="eastAsia" w:ascii="仿宋_GB2312" w:hAnsi="仿宋_GB2312" w:eastAsia="仿宋_GB2312" w:cs="仿宋_GB2312"/>
          <w:snapToGrid w:val="0"/>
          <w:color w:val="000000"/>
          <w:sz w:val="28"/>
          <w:szCs w:val="28"/>
          <w:highlight w:val="none"/>
          <w:lang w:val="en-US" w:eastAsia="zh-CN"/>
        </w:rPr>
        <w:t xml:space="preserve">  </w:t>
      </w:r>
      <w:r>
        <w:rPr>
          <w:rFonts w:hint="eastAsia" w:ascii="仿宋_GB2312" w:hAnsi="仿宋_GB2312" w:eastAsia="仿宋_GB2312" w:cs="仿宋_GB2312"/>
          <w:snapToGrid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numPr>
          <w:ilvl w:val="0"/>
          <w:numId w:val="27"/>
        </w:numPr>
        <w:adjustRightInd w:val="0"/>
        <w:ind w:left="567" w:leftChars="270" w:firstLine="273" w:firstLineChars="0"/>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eastAsia="zh-CN"/>
        </w:rPr>
        <w:t>硬件拓补图</w:t>
      </w:r>
      <w:r>
        <w:rPr>
          <w:rFonts w:hint="eastAsia" w:ascii="仿宋_GB2312" w:hAnsi="仿宋_GB2312" w:eastAsia="仿宋_GB2312" w:cs="仿宋_GB2312"/>
          <w:snapToGrid w:val="0"/>
          <w:color w:val="000000"/>
          <w:sz w:val="22"/>
          <w:szCs w:val="22"/>
          <w:lang w:eastAsia="zh-CN"/>
        </w:rPr>
        <w:t>（</w:t>
      </w:r>
      <w:r>
        <w:rPr>
          <w:rFonts w:hint="eastAsia" w:ascii="仿宋_GB2312" w:hAnsi="仿宋_GB2312" w:eastAsia="仿宋_GB2312" w:cs="仿宋_GB2312"/>
          <w:snapToGrid w:val="0"/>
          <w:color w:val="000000"/>
          <w:sz w:val="22"/>
          <w:szCs w:val="22"/>
          <w:lang w:val="en-US" w:eastAsia="zh-CN"/>
        </w:rPr>
        <w:t>请从附表</w:t>
      </w:r>
      <w:r>
        <w:rPr>
          <w:rFonts w:hint="eastAsia" w:ascii="仿宋_GB2312" w:hAnsi="仿宋_GB2312" w:eastAsia="仿宋_GB2312" w:cs="仿宋_GB2312"/>
          <w:b w:val="0"/>
          <w:bCs w:val="0"/>
          <w:sz w:val="24"/>
          <w:szCs w:val="24"/>
          <w:highlight w:val="none"/>
          <w:lang w:val="en-US" w:eastAsia="zh-CN"/>
        </w:rPr>
        <w:t>我行</w:t>
      </w:r>
      <w:r>
        <w:rPr>
          <w:rFonts w:hint="eastAsia" w:ascii="仿宋_GB2312" w:hAnsi="仿宋_GB2312" w:eastAsia="仿宋_GB2312" w:cs="仿宋_GB2312"/>
          <w:snapToGrid w:val="0"/>
          <w:color w:val="000000"/>
          <w:sz w:val="22"/>
          <w:szCs w:val="22"/>
          <w:lang w:val="en-US" w:eastAsia="zh-CN"/>
        </w:rPr>
        <w:t>支持软硬件清单中选择所需硬件类型，超出范围的请标注）</w:t>
      </w: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（1）我行支持软件清单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5050"/>
        <w:gridCol w:w="1635"/>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yellow"/>
                <w:lang w:eastAsia="zh-CN"/>
              </w:rPr>
            </w:pPr>
            <w:r>
              <w:rPr>
                <w:rFonts w:hint="eastAsia" w:ascii="仿宋_GB2312" w:hAnsi="仿宋_GB2312" w:eastAsia="仿宋_GB2312" w:cs="仿宋_GB2312"/>
                <w:b/>
                <w:bCs/>
                <w:sz w:val="21"/>
                <w:szCs w:val="21"/>
                <w:lang w:eastAsia="zh-CN"/>
              </w:rPr>
              <w:t>类别</w:t>
            </w:r>
          </w:p>
        </w:tc>
        <w:tc>
          <w:tcPr>
            <w:tcW w:w="505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名称</w:t>
            </w:r>
          </w:p>
        </w:tc>
        <w:tc>
          <w:tcPr>
            <w:tcW w:w="1635"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i w:val="0"/>
                <w:iCs w:val="0"/>
                <w:sz w:val="20"/>
                <w:szCs w:val="20"/>
                <w:highlight w:val="none"/>
                <w:lang w:eastAsia="zh-CN"/>
              </w:rPr>
              <w:t>操作系统</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SUSE LINUX11 SP3、SP4</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0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WIN</w:t>
            </w:r>
            <w:r>
              <w:rPr>
                <w:rFonts w:hint="eastAsia" w:ascii="仿宋_GB2312" w:hAnsi="仿宋_GB2312" w:eastAsia="仿宋_GB2312" w:cs="仿宋_GB2312"/>
                <w:sz w:val="20"/>
                <w:szCs w:val="20"/>
                <w:lang w:val="en-US" w:eastAsia="zh-CN"/>
              </w:rPr>
              <w:t xml:space="preserve">DOWS </w:t>
            </w:r>
            <w:r>
              <w:rPr>
                <w:rFonts w:hint="eastAsia" w:ascii="仿宋_GB2312" w:hAnsi="仿宋_GB2312" w:eastAsia="仿宋_GB2312" w:cs="仿宋_GB2312"/>
                <w:sz w:val="20"/>
                <w:szCs w:val="20"/>
                <w:lang w:val="zh-CN"/>
              </w:rPr>
              <w:t>SERVER 2008/2012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 xml:space="preserve">REDHAT </w:t>
            </w:r>
            <w:r>
              <w:rPr>
                <w:rFonts w:hint="eastAsia" w:ascii="仿宋_GB2312" w:hAnsi="仿宋_GB2312" w:eastAsia="仿宋_GB2312" w:cs="仿宋_GB2312"/>
                <w:sz w:val="20"/>
                <w:szCs w:val="20"/>
                <w:lang w:val="en-US" w:eastAsia="zh-CN"/>
              </w:rPr>
              <w:t>LINUX 5.4/</w:t>
            </w:r>
            <w:r>
              <w:rPr>
                <w:rFonts w:hint="eastAsia" w:ascii="仿宋_GB2312" w:hAnsi="仿宋_GB2312" w:eastAsia="仿宋_GB2312" w:cs="仿宋_GB2312"/>
                <w:sz w:val="20"/>
                <w:szCs w:val="20"/>
                <w:lang w:val="zh-CN"/>
              </w:rPr>
              <w:t>6.3/7.2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zh-CN"/>
              </w:rPr>
            </w:pPr>
            <w:r>
              <w:rPr>
                <w:rFonts w:hint="eastAsia" w:ascii="仿宋_GB2312" w:hAnsi="仿宋_GB2312" w:eastAsia="仿宋_GB2312" w:cs="仿宋_GB2312"/>
                <w:sz w:val="20"/>
                <w:lang w:val="zh-CN"/>
              </w:rPr>
              <w:t xml:space="preserve">CentOS 7.5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数据库</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DB2 10.1/10.5.7</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OceanBase 1.4/2.2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优先选择</w:t>
            </w:r>
          </w:p>
        </w:tc>
      </w:tr>
      <w:tr>
        <w:tblPrEx>
          <w:tblLayout w:type="fixed"/>
          <w:tblCellMar>
            <w:top w:w="0" w:type="dxa"/>
            <w:left w:w="108" w:type="dxa"/>
            <w:bottom w:w="0" w:type="dxa"/>
            <w:right w:w="108" w:type="dxa"/>
          </w:tblCellMar>
        </w:tblPrEx>
        <w:trPr>
          <w:trHeight w:val="440"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中间件</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 xml:space="preserve">WAS </w:t>
            </w:r>
            <w:r>
              <w:rPr>
                <w:rFonts w:hint="eastAsia" w:ascii="仿宋_GB2312" w:hAnsi="仿宋_GB2312" w:eastAsia="仿宋_GB2312" w:cs="仿宋_GB2312"/>
                <w:sz w:val="20"/>
                <w:szCs w:val="20"/>
                <w:lang w:val="en-US" w:eastAsia="zh-CN"/>
              </w:rPr>
              <w:t>9.0.0.5</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Tomcat </w:t>
            </w:r>
            <w:r>
              <w:rPr>
                <w:rFonts w:hint="eastAsia" w:ascii="仿宋_GB2312" w:hAnsi="仿宋_GB2312" w:eastAsia="仿宋_GB2312" w:cs="仿宋_GB2312"/>
                <w:sz w:val="20"/>
              </w:rPr>
              <w:t>9.0 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zh-CN"/>
              </w:rPr>
            </w:pPr>
            <w:r>
              <w:rPr>
                <w:rFonts w:hint="eastAsia" w:ascii="仿宋_GB2312" w:hAnsi="仿宋_GB2312" w:eastAsia="仿宋_GB2312" w:cs="仿宋_GB2312"/>
                <w:sz w:val="20"/>
                <w:lang w:val="zh-CN"/>
              </w:rPr>
              <w:t>Nginx</w:t>
            </w:r>
            <w:r>
              <w:rPr>
                <w:rFonts w:hint="eastAsia" w:ascii="仿宋_GB2312" w:hAnsi="仿宋_GB2312" w:eastAsia="仿宋_GB2312" w:cs="仿宋_GB2312"/>
                <w:sz w:val="20"/>
                <w:lang w:val="en-US" w:eastAsia="zh-CN"/>
              </w:rPr>
              <w:t xml:space="preserve"> </w:t>
            </w:r>
            <w:r>
              <w:rPr>
                <w:rFonts w:hint="eastAsia" w:ascii="仿宋_GB2312" w:hAnsi="仿宋_GB2312" w:eastAsia="仿宋_GB2312" w:cs="仿宋_GB2312"/>
                <w:sz w:val="20"/>
              </w:rPr>
              <w:t>1.15.9</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HTTPSERVER</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45"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CICS</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bl>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（2）我行支持硬件清单</w:t>
      </w:r>
    </w:p>
    <w:tbl>
      <w:tblPr>
        <w:tblStyle w:val="33"/>
        <w:tblpPr w:leftFromText="180" w:rightFromText="180" w:vertAnchor="text" w:horzAnchor="page" w:tblpX="2350" w:tblpY="303"/>
        <w:tblOverlap w:val="never"/>
        <w:tblW w:w="7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硬件名称</w:t>
            </w:r>
          </w:p>
        </w:tc>
        <w:tc>
          <w:tcPr>
            <w:tcW w:w="34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基本配置</w:t>
            </w:r>
          </w:p>
        </w:tc>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小型机</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16C/128G/4*300GB/2*HBA卡/2*4口网卡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PCserver</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val="0"/>
                <w:bCs w:val="0"/>
                <w:sz w:val="18"/>
                <w:szCs w:val="18"/>
                <w:vertAlign w:val="baseline"/>
                <w:lang w:val="zh-CN" w:eastAsia="zh-CN"/>
              </w:rPr>
              <w:t>2*E5-2630V4 8C/128GB(8*16GB)/4*600G SAS/Raid (0、1、5)</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lang w:val="en-US" w:eastAsia="zh-CN"/>
              </w:rPr>
              <w:t>虚拟化设备</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2C/8G/100G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bl>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lang w:val="en-US" w:eastAsia="zh-CN" w:bidi="ar-SA"/>
        </w:rPr>
      </w:pPr>
      <w:r>
        <w:rPr>
          <w:rFonts w:hint="eastAsia" w:ascii="仿宋_GB2312" w:hAnsi="仿宋_GB2312" w:eastAsia="仿宋_GB2312" w:cs="仿宋_GB2312"/>
          <w:b w:val="0"/>
          <w:bCs w:val="0"/>
          <w:snapToGrid w:val="0"/>
          <w:color w:val="000000"/>
          <w:kern w:val="2"/>
          <w:sz w:val="28"/>
          <w:szCs w:val="28"/>
          <w:lang w:val="en-US" w:eastAsia="zh-CN" w:bidi="ar-SA"/>
        </w:rPr>
        <w:t>附件7：产品功能表</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产品功能/应用/模块</w:t>
            </w:r>
          </w:p>
        </w:tc>
        <w:tc>
          <w:tcPr>
            <w:tcW w:w="393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对应需求点</w:t>
            </w:r>
          </w:p>
        </w:tc>
        <w:tc>
          <w:tcPr>
            <w:tcW w:w="216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bl>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pStyle w:val="3"/>
        <w:spacing w:after="0" w:line="240" w:lineRule="auto"/>
        <w:jc w:val="left"/>
        <w:rPr>
          <w:rFonts w:hint="eastAsia" w:ascii="仿宋_GB2312" w:hAnsi="仿宋_GB2312" w:eastAsia="仿宋_GB2312" w:cs="仿宋_GB2312"/>
          <w:b w:val="0"/>
          <w:sz w:val="28"/>
          <w:szCs w:val="28"/>
          <w:highlight w:val="yellow"/>
        </w:rPr>
      </w:pPr>
      <w:r>
        <w:rPr>
          <w:rFonts w:hint="eastAsia" w:ascii="仿宋_GB2312" w:hAnsi="仿宋_GB2312" w:eastAsia="仿宋_GB2312" w:cs="仿宋_GB2312"/>
          <w:b w:val="0"/>
          <w:bCs w:val="0"/>
          <w:snapToGrid w:val="0"/>
          <w:color w:val="000000"/>
          <w:kern w:val="2"/>
          <w:sz w:val="28"/>
          <w:szCs w:val="28"/>
          <w:lang w:val="en-US" w:eastAsia="zh-CN" w:bidi="ar-SA"/>
        </w:rPr>
        <w:t>附件8：项目实施人员一览表、人员简历及社保证明</w:t>
      </w:r>
    </w:p>
    <w:p>
      <w:pPr>
        <w:tabs>
          <w:tab w:val="left" w:pos="720"/>
        </w:tabs>
        <w:spacing w:line="300" w:lineRule="auto"/>
        <w:ind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项目实施人员一览表</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095"/>
        <w:gridCol w:w="847"/>
        <w:gridCol w:w="683"/>
        <w:gridCol w:w="1915"/>
        <w:gridCol w:w="13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角色</w:t>
            </w:r>
          </w:p>
        </w:tc>
        <w:tc>
          <w:tcPr>
            <w:tcW w:w="1095"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姓名</w:t>
            </w:r>
          </w:p>
        </w:tc>
        <w:tc>
          <w:tcPr>
            <w:tcW w:w="847"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公司职务</w:t>
            </w:r>
          </w:p>
        </w:tc>
        <w:tc>
          <w:tcPr>
            <w:tcW w:w="683"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工作年限</w:t>
            </w:r>
          </w:p>
        </w:tc>
        <w:tc>
          <w:tcPr>
            <w:tcW w:w="1915"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参与阶段/主要工作</w:t>
            </w:r>
          </w:p>
        </w:tc>
        <w:tc>
          <w:tcPr>
            <w:tcW w:w="1364"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进场时间</w:t>
            </w:r>
          </w:p>
        </w:tc>
        <w:tc>
          <w:tcPr>
            <w:tcW w:w="1417"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需求分析</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系统设计</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软件工程师</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测试工程师</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bl>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r>
        <w:rPr>
          <w:rFonts w:hint="eastAsia" w:ascii="仿宋_GB2312" w:hAnsi="仿宋_GB2312" w:eastAsia="仿宋_GB2312" w:cs="仿宋_GB2312"/>
          <w:bCs/>
          <w:snapToGrid w:val="0"/>
          <w:sz w:val="28"/>
          <w:szCs w:val="28"/>
        </w:rPr>
        <w:tab/>
      </w:r>
    </w:p>
    <w:p>
      <w:pPr>
        <w:tabs>
          <w:tab w:val="left" w:pos="720"/>
        </w:tabs>
        <w:spacing w:line="300" w:lineRule="auto"/>
        <w:rPr>
          <w:rFonts w:hint="eastAsia" w:ascii="仿宋_GB2312" w:hAnsi="仿宋_GB2312" w:eastAsia="仿宋_GB2312" w:cs="仿宋_GB2312"/>
          <w:b/>
          <w:sz w:val="28"/>
          <w:szCs w:val="28"/>
        </w:rPr>
      </w:pPr>
    </w:p>
    <w:p>
      <w:pPr>
        <w:tabs>
          <w:tab w:val="left" w:pos="720"/>
        </w:tabs>
        <w:spacing w:line="300" w:lineRule="auto"/>
        <w:rPr>
          <w:rFonts w:hint="eastAsia" w:ascii="仿宋_GB2312" w:hAnsi="仿宋_GB2312" w:eastAsia="仿宋_GB2312" w:cs="仿宋_GB2312"/>
          <w:b/>
          <w:sz w:val="28"/>
          <w:szCs w:val="28"/>
        </w:rPr>
      </w:pPr>
    </w:p>
    <w:p>
      <w:pPr>
        <w:tabs>
          <w:tab w:val="left" w:pos="720"/>
        </w:tabs>
        <w:spacing w:line="300" w:lineRule="auto"/>
        <w:ind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项目成</w:t>
      </w:r>
      <w:r>
        <w:rPr>
          <w:rFonts w:hint="eastAsia" w:ascii="仿宋_GB2312" w:hAnsi="仿宋_GB2312" w:eastAsia="仿宋_GB2312" w:cs="仿宋_GB2312"/>
          <w:b/>
          <w:sz w:val="28"/>
          <w:szCs w:val="28"/>
        </w:rPr>
        <w:t>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龄</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  业</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工作年限</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现所在部门</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职务/职称</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项目角色</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i w:val="0"/>
                <w:iCs w:val="0"/>
                <w:sz w:val="22"/>
                <w:szCs w:val="22"/>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专业资质&amp;认证</w:t>
            </w:r>
          </w:p>
        </w:tc>
        <w:tc>
          <w:tcPr>
            <w:tcW w:w="6887" w:type="dxa"/>
            <w:gridSpan w:val="5"/>
            <w:shd w:val="clear" w:color="auto" w:fill="auto"/>
            <w:vAlign w:val="center"/>
          </w:tcPr>
          <w:p>
            <w:pPr>
              <w:spacing w:line="36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专业技能简介</w:t>
            </w:r>
          </w:p>
        </w:tc>
        <w:tc>
          <w:tcPr>
            <w:tcW w:w="6887" w:type="dxa"/>
            <w:gridSpan w:val="5"/>
            <w:shd w:val="clear" w:color="auto" w:fill="auto"/>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工作经历(</w:t>
            </w:r>
            <w:r>
              <w:rPr>
                <w:rFonts w:hint="eastAsia" w:ascii="仿宋_GB2312" w:hAnsi="仿宋_GB2312" w:eastAsia="仿宋_GB2312" w:cs="仿宋_GB2312"/>
                <w:sz w:val="24"/>
                <w:szCs w:val="24"/>
                <w:highlight w:val="none"/>
                <w:lang w:eastAsia="zh-CN"/>
              </w:rPr>
              <w:t>所有</w:t>
            </w:r>
            <w:r>
              <w:rPr>
                <w:rFonts w:hint="eastAsia" w:ascii="仿宋_GB2312" w:hAnsi="仿宋_GB2312" w:eastAsia="仿宋_GB2312" w:cs="仿宋_GB2312"/>
                <w:sz w:val="24"/>
                <w:szCs w:val="24"/>
                <w:highlight w:val="none"/>
              </w:rPr>
              <w:t>)</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i w:val="0"/>
                <w:iCs w:val="0"/>
                <w:sz w:val="22"/>
                <w:szCs w:val="22"/>
                <w:highlight w:val="none"/>
              </w:rPr>
            </w:pPr>
            <w:r>
              <w:rPr>
                <w:rFonts w:hint="eastAsia" w:ascii="仿宋_GB2312" w:hAnsi="仿宋_GB2312" w:eastAsia="仿宋_GB2312" w:cs="仿宋_GB2312"/>
                <w:i w:val="0"/>
                <w:iCs w:val="0"/>
                <w:sz w:val="22"/>
                <w:szCs w:val="22"/>
                <w:highlight w:val="none"/>
              </w:rPr>
              <w:t>范例：</w:t>
            </w:r>
          </w:p>
          <w:p>
            <w:pPr>
              <w:numPr>
                <w:ilvl w:val="0"/>
                <w:numId w:val="28"/>
              </w:numPr>
              <w:snapToGrid w:val="0"/>
              <w:spacing w:line="312" w:lineRule="auto"/>
              <w:ind w:left="357" w:hanging="357"/>
              <w:jc w:val="both"/>
              <w:rPr>
                <w:rFonts w:hint="eastAsia" w:ascii="仿宋_GB2312" w:hAnsi="仿宋_GB2312" w:eastAsia="仿宋_GB2312" w:cs="仿宋_GB2312"/>
                <w:i w:val="0"/>
                <w:iCs w:val="0"/>
                <w:sz w:val="22"/>
                <w:szCs w:val="22"/>
                <w:highlight w:val="none"/>
              </w:rPr>
            </w:pPr>
            <w:r>
              <w:rPr>
                <w:rFonts w:hint="eastAsia" w:ascii="仿宋_GB2312" w:hAnsi="仿宋_GB2312" w:eastAsia="仿宋_GB2312" w:cs="仿宋_GB2312"/>
                <w:i w:val="0"/>
                <w:iCs w:val="0"/>
                <w:sz w:val="22"/>
                <w:szCs w:val="22"/>
                <w:highlight w:val="none"/>
              </w:rPr>
              <w:t>2008.7</w:t>
            </w:r>
            <w:r>
              <w:rPr>
                <w:rFonts w:hint="eastAsia" w:ascii="仿宋_GB2312" w:hAnsi="仿宋_GB2312" w:eastAsia="仿宋_GB2312" w:cs="仿宋_GB2312"/>
                <w:i w:val="0"/>
                <w:iCs w:val="0"/>
                <w:sz w:val="22"/>
                <w:szCs w:val="22"/>
                <w:highlight w:val="none"/>
                <w:lang w:eastAsia="zh-CN"/>
              </w:rPr>
              <w:t>至</w:t>
            </w:r>
            <w:r>
              <w:rPr>
                <w:rFonts w:hint="eastAsia" w:ascii="仿宋_GB2312" w:hAnsi="仿宋_GB2312" w:eastAsia="仿宋_GB2312" w:cs="仿宋_GB2312"/>
                <w:i w:val="0"/>
                <w:iCs w:val="0"/>
                <w:sz w:val="22"/>
                <w:szCs w:val="22"/>
                <w:highlight w:val="none"/>
              </w:rPr>
              <w:t>今, xxxxx公司，xxx职务/岗位 (时间倒序)</w:t>
            </w:r>
          </w:p>
          <w:p>
            <w:pPr>
              <w:numPr>
                <w:ilvl w:val="0"/>
                <w:numId w:val="28"/>
              </w:numPr>
              <w:snapToGrid w:val="0"/>
              <w:spacing w:line="312" w:lineRule="auto"/>
              <w:ind w:left="357" w:hanging="357"/>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iCs w:val="0"/>
                <w:sz w:val="22"/>
                <w:szCs w:val="22"/>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参加起/止日期</w:t>
            </w: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近3年参加的类似项目名称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项目角色</w:t>
            </w: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范例：2009.5 ～2010.9</w:t>
            </w: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xxx客户xxxx项目名称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咨询顾问</w:t>
            </w: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p>
        </w:tc>
      </w:tr>
    </w:tbl>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3"/>
        <w:spacing w:after="0" w:line="240" w:lineRule="auto"/>
        <w:jc w:val="left"/>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eastAsia="zh-CN"/>
        </w:rPr>
        <w:t>附件</w:t>
      </w:r>
      <w:r>
        <w:rPr>
          <w:rFonts w:hint="eastAsia" w:ascii="仿宋_GB2312" w:hAnsi="仿宋_GB2312" w:eastAsia="仿宋_GB2312" w:cs="仿宋_GB2312"/>
          <w:b w:val="0"/>
          <w:sz w:val="28"/>
          <w:szCs w:val="28"/>
          <w:lang w:val="en-US" w:eastAsia="zh-CN"/>
        </w:rPr>
        <w:t>9：科技系统技术标准概要事项</w:t>
      </w:r>
    </w:p>
    <w:tbl>
      <w:tblPr>
        <w:tblStyle w:val="32"/>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系统涉及回单必须对接招标方统一回单应用</w:t>
            </w:r>
          </w:p>
        </w:tc>
      </w:tr>
    </w:tbl>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w:t>日    期：</w:t>
      </w:r>
    </w:p>
    <w:p>
      <w:pPr>
        <w:pStyle w:val="3"/>
        <w:spacing w:after="0" w:line="240" w:lineRule="auto"/>
        <w:jc w:val="left"/>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附件10：投标人资格证明与案例情况（近三年，需附证明文件）</w:t>
      </w:r>
    </w:p>
    <w:p>
      <w:pPr>
        <w:numPr>
          <w:ilvl w:val="0"/>
          <w:numId w:val="29"/>
        </w:numPr>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投标人资格证明文件（营业执照等相关文件复印件）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注：复印件作为附页。</w:t>
      </w:r>
    </w:p>
    <w:p>
      <w:pPr>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二、案例情况说明</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合作方式</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bl>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rPr>
          <w:rFonts w:hint="eastAsia" w:ascii="仿宋_GB2312" w:hAnsi="仿宋_GB2312" w:eastAsia="仿宋_GB2312" w:cs="仿宋_GB2312"/>
          <w:b w:val="0"/>
          <w:i w:val="0"/>
          <w:caps w:val="0"/>
          <w:color w:val="000000"/>
          <w:spacing w:val="0"/>
          <w:sz w:val="21"/>
          <w:szCs w:val="21"/>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常熟农商银行科技项目招标书 2021年7月版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BBE57"/>
    <w:multiLevelType w:val="singleLevel"/>
    <w:tmpl w:val="8FCBBE57"/>
    <w:lvl w:ilvl="0" w:tentative="0">
      <w:start w:val="1"/>
      <w:numFmt w:val="decimal"/>
      <w:suff w:val="nothing"/>
      <w:lvlText w:val="%1．"/>
      <w:lvlJc w:val="left"/>
      <w:pPr>
        <w:ind w:left="0" w:firstLine="400"/>
      </w:pPr>
      <w:rPr>
        <w:rFonts w:hint="default"/>
      </w:rPr>
    </w:lvl>
  </w:abstractNum>
  <w:abstractNum w:abstractNumId="1">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2">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3">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79BCCF"/>
    <w:multiLevelType w:val="singleLevel"/>
    <w:tmpl w:val="5279BCCF"/>
    <w:lvl w:ilvl="0" w:tentative="0">
      <w:start w:val="1"/>
      <w:numFmt w:val="chineseCounting"/>
      <w:suff w:val="nothing"/>
      <w:lvlText w:val="%1、"/>
      <w:lvlJc w:val="left"/>
    </w:lvl>
  </w:abstractNum>
  <w:abstractNum w:abstractNumId="5">
    <w:nsid w:val="59753AD3"/>
    <w:multiLevelType w:val="singleLevel"/>
    <w:tmpl w:val="59753AD3"/>
    <w:lvl w:ilvl="0" w:tentative="0">
      <w:start w:val="1"/>
      <w:numFmt w:val="chineseCounting"/>
      <w:suff w:val="nothing"/>
      <w:lvlText w:val="（%1）"/>
      <w:lvlJc w:val="left"/>
      <w:pPr>
        <w:ind w:left="0" w:leftChars="0" w:firstLine="420" w:firstLineChars="0"/>
      </w:pPr>
      <w:rPr>
        <w:rFonts w:hint="eastAsia"/>
      </w:rPr>
    </w:lvl>
  </w:abstractNum>
  <w:abstractNum w:abstractNumId="6">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7">
    <w:nsid w:val="59753D7B"/>
    <w:multiLevelType w:val="singleLevel"/>
    <w:tmpl w:val="59753D7B"/>
    <w:lvl w:ilvl="0" w:tentative="0">
      <w:start w:val="1"/>
      <w:numFmt w:val="chineseCounting"/>
      <w:suff w:val="nothing"/>
      <w:lvlText w:val="（%1）"/>
      <w:lvlJc w:val="left"/>
      <w:pPr>
        <w:ind w:left="0" w:leftChars="0" w:firstLine="420" w:firstLineChars="0"/>
      </w:pPr>
      <w:rPr>
        <w:rFonts w:hint="eastAsia"/>
      </w:rPr>
    </w:lvl>
  </w:abstractNum>
  <w:abstractNum w:abstractNumId="8">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9">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10">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1">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2">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3">
    <w:nsid w:val="597854B4"/>
    <w:multiLevelType w:val="singleLevel"/>
    <w:tmpl w:val="597854B4"/>
    <w:lvl w:ilvl="0" w:tentative="0">
      <w:start w:val="1"/>
      <w:numFmt w:val="chineseCounting"/>
      <w:suff w:val="nothing"/>
      <w:lvlText w:val="（%1）"/>
      <w:lvlJc w:val="left"/>
      <w:pPr>
        <w:ind w:left="0" w:leftChars="0" w:firstLine="420" w:firstLineChars="0"/>
      </w:pPr>
      <w:rPr>
        <w:rFonts w:hint="eastAsia"/>
      </w:rPr>
    </w:lvl>
  </w:abstractNum>
  <w:abstractNum w:abstractNumId="14">
    <w:nsid w:val="597854E6"/>
    <w:multiLevelType w:val="singleLevel"/>
    <w:tmpl w:val="597854E6"/>
    <w:lvl w:ilvl="0" w:tentative="0">
      <w:start w:val="1"/>
      <w:numFmt w:val="chineseCounting"/>
      <w:suff w:val="nothing"/>
      <w:lvlText w:val="（%1）"/>
      <w:lvlJc w:val="left"/>
      <w:pPr>
        <w:ind w:left="0" w:leftChars="0" w:firstLine="420" w:firstLineChars="0"/>
      </w:pPr>
      <w:rPr>
        <w:rFonts w:hint="eastAsia"/>
      </w:rPr>
    </w:lvl>
  </w:abstractNum>
  <w:abstractNum w:abstractNumId="15">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5677"/>
    <w:multiLevelType w:val="singleLevel"/>
    <w:tmpl w:val="59785677"/>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19">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1">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2">
    <w:nsid w:val="5983032A"/>
    <w:multiLevelType w:val="singleLevel"/>
    <w:tmpl w:val="5983032A"/>
    <w:lvl w:ilvl="0" w:tentative="0">
      <w:start w:val="2"/>
      <w:numFmt w:val="chineseCounting"/>
      <w:suff w:val="nothing"/>
      <w:lvlText w:val="%1、"/>
      <w:lvlJc w:val="left"/>
    </w:lvl>
  </w:abstractNum>
  <w:abstractNum w:abstractNumId="23">
    <w:nsid w:val="5983078B"/>
    <w:multiLevelType w:val="multilevel"/>
    <w:tmpl w:val="5983078B"/>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4">
    <w:nsid w:val="5987D065"/>
    <w:multiLevelType w:val="singleLevel"/>
    <w:tmpl w:val="5987D065"/>
    <w:lvl w:ilvl="0" w:tentative="0">
      <w:start w:val="1"/>
      <w:numFmt w:val="chineseCounting"/>
      <w:suff w:val="nothing"/>
      <w:lvlText w:val="%1、"/>
      <w:lvlJc w:val="left"/>
    </w:lvl>
  </w:abstractNum>
  <w:abstractNum w:abstractNumId="25">
    <w:nsid w:val="5987D4BA"/>
    <w:multiLevelType w:val="singleLevel"/>
    <w:tmpl w:val="5987D4BA"/>
    <w:lvl w:ilvl="0" w:tentative="0">
      <w:start w:val="2"/>
      <w:numFmt w:val="chineseCounting"/>
      <w:suff w:val="nothing"/>
      <w:lvlText w:val="（%1）"/>
      <w:lvlJc w:val="left"/>
    </w:lvl>
  </w:abstractNum>
  <w:abstractNum w:abstractNumId="26">
    <w:nsid w:val="6274B24D"/>
    <w:multiLevelType w:val="singleLevel"/>
    <w:tmpl w:val="6274B24D"/>
    <w:lvl w:ilvl="0" w:tentative="0">
      <w:start w:val="1"/>
      <w:numFmt w:val="decimal"/>
      <w:suff w:val="nothing"/>
      <w:lvlText w:val="%1."/>
      <w:lvlJc w:val="left"/>
    </w:lvl>
  </w:abstractNum>
  <w:abstractNum w:abstractNumId="27">
    <w:nsid w:val="6274BBBD"/>
    <w:multiLevelType w:val="singleLevel"/>
    <w:tmpl w:val="6274BBBD"/>
    <w:lvl w:ilvl="0" w:tentative="0">
      <w:start w:val="1"/>
      <w:numFmt w:val="decimal"/>
      <w:suff w:val="nothing"/>
      <w:lvlText w:val="%1."/>
      <w:lvlJc w:val="left"/>
    </w:lvl>
  </w:abstractNum>
  <w:abstractNum w:abstractNumId="28">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1"/>
  </w:num>
  <w:num w:numId="2">
    <w:abstractNumId w:val="6"/>
  </w:num>
  <w:num w:numId="3">
    <w:abstractNumId w:val="5"/>
  </w:num>
  <w:num w:numId="4">
    <w:abstractNumId w:val="8"/>
  </w:num>
  <w:num w:numId="5">
    <w:abstractNumId w:val="9"/>
  </w:num>
  <w:num w:numId="6">
    <w:abstractNumId w:val="10"/>
  </w:num>
  <w:num w:numId="7">
    <w:abstractNumId w:val="7"/>
  </w:num>
  <w:num w:numId="8">
    <w:abstractNumId w:val="11"/>
  </w:num>
  <w:num w:numId="9">
    <w:abstractNumId w:val="12"/>
  </w:num>
  <w:num w:numId="10">
    <w:abstractNumId w:val="13"/>
  </w:num>
  <w:num w:numId="11">
    <w:abstractNumId w:val="0"/>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
  </w:num>
  <w:num w:numId="19">
    <w:abstractNumId w:val="4"/>
  </w:num>
  <w:num w:numId="20">
    <w:abstractNumId w:val="28"/>
  </w:num>
  <w:num w:numId="21">
    <w:abstractNumId w:val="20"/>
  </w:num>
  <w:num w:numId="22">
    <w:abstractNumId w:val="21"/>
  </w:num>
  <w:num w:numId="23">
    <w:abstractNumId w:val="22"/>
  </w:num>
  <w:num w:numId="24">
    <w:abstractNumId w:val="26"/>
  </w:num>
  <w:num w:numId="25">
    <w:abstractNumId w:val="27"/>
  </w:num>
  <w:num w:numId="26">
    <w:abstractNumId w:val="25"/>
  </w:num>
  <w:num w:numId="27">
    <w:abstractNumId w:val="23"/>
  </w:num>
  <w:num w:numId="28">
    <w:abstractNumId w:val="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0"/>
  <w:bordersDoNotSurroundFooter w:val="0"/>
  <w:doNotTrackMoves/>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23F763D"/>
    <w:rsid w:val="02426FC4"/>
    <w:rsid w:val="024C138E"/>
    <w:rsid w:val="026003F1"/>
    <w:rsid w:val="02777751"/>
    <w:rsid w:val="02A067C4"/>
    <w:rsid w:val="02BA29F8"/>
    <w:rsid w:val="03140E87"/>
    <w:rsid w:val="031D6BFC"/>
    <w:rsid w:val="034435B9"/>
    <w:rsid w:val="03926FEA"/>
    <w:rsid w:val="03B46439"/>
    <w:rsid w:val="0412370F"/>
    <w:rsid w:val="043F6208"/>
    <w:rsid w:val="04694A39"/>
    <w:rsid w:val="04972F07"/>
    <w:rsid w:val="05E62AA5"/>
    <w:rsid w:val="065A5568"/>
    <w:rsid w:val="068A58DD"/>
    <w:rsid w:val="06A2432A"/>
    <w:rsid w:val="06AC59D5"/>
    <w:rsid w:val="0756131A"/>
    <w:rsid w:val="0854497E"/>
    <w:rsid w:val="08AB3900"/>
    <w:rsid w:val="08E829EE"/>
    <w:rsid w:val="0A5237FA"/>
    <w:rsid w:val="0AB43546"/>
    <w:rsid w:val="0AD164F5"/>
    <w:rsid w:val="0B031D85"/>
    <w:rsid w:val="0B343A9C"/>
    <w:rsid w:val="0B836253"/>
    <w:rsid w:val="0BDC31DE"/>
    <w:rsid w:val="0C824CC4"/>
    <w:rsid w:val="0C904C0E"/>
    <w:rsid w:val="0D0514A7"/>
    <w:rsid w:val="0D1F1BB5"/>
    <w:rsid w:val="0D4414B4"/>
    <w:rsid w:val="0D5D0AE8"/>
    <w:rsid w:val="0D8F2D46"/>
    <w:rsid w:val="0DAE5379"/>
    <w:rsid w:val="0DB16C2B"/>
    <w:rsid w:val="0DCB3E31"/>
    <w:rsid w:val="0E702D3B"/>
    <w:rsid w:val="0F127D3A"/>
    <w:rsid w:val="0F8F770F"/>
    <w:rsid w:val="101F7A0E"/>
    <w:rsid w:val="10C776EF"/>
    <w:rsid w:val="11383706"/>
    <w:rsid w:val="12780A0F"/>
    <w:rsid w:val="128C3C15"/>
    <w:rsid w:val="12B9330F"/>
    <w:rsid w:val="131E3EC2"/>
    <w:rsid w:val="13B21DDF"/>
    <w:rsid w:val="13CF32F6"/>
    <w:rsid w:val="14044EE5"/>
    <w:rsid w:val="14193B86"/>
    <w:rsid w:val="142C5E3A"/>
    <w:rsid w:val="14804717"/>
    <w:rsid w:val="14A81FAA"/>
    <w:rsid w:val="14C71970"/>
    <w:rsid w:val="153C1171"/>
    <w:rsid w:val="15840E3F"/>
    <w:rsid w:val="15BA039F"/>
    <w:rsid w:val="15D64E1E"/>
    <w:rsid w:val="15E66256"/>
    <w:rsid w:val="16273CED"/>
    <w:rsid w:val="16975514"/>
    <w:rsid w:val="17F5625C"/>
    <w:rsid w:val="189D20F0"/>
    <w:rsid w:val="18B8785A"/>
    <w:rsid w:val="19474EE4"/>
    <w:rsid w:val="194D45C7"/>
    <w:rsid w:val="195F6CE7"/>
    <w:rsid w:val="19961FDC"/>
    <w:rsid w:val="19A24DFE"/>
    <w:rsid w:val="19B33F22"/>
    <w:rsid w:val="1A201B89"/>
    <w:rsid w:val="1A2C4A64"/>
    <w:rsid w:val="1A4E1F98"/>
    <w:rsid w:val="1A523FB8"/>
    <w:rsid w:val="1A6C779C"/>
    <w:rsid w:val="1AE65EF1"/>
    <w:rsid w:val="1B5213EA"/>
    <w:rsid w:val="1B986C08"/>
    <w:rsid w:val="1C1A366B"/>
    <w:rsid w:val="1C762E6E"/>
    <w:rsid w:val="1C765BB9"/>
    <w:rsid w:val="1CA154E8"/>
    <w:rsid w:val="1CA45FE9"/>
    <w:rsid w:val="1CE13C57"/>
    <w:rsid w:val="1D106803"/>
    <w:rsid w:val="1D6C0124"/>
    <w:rsid w:val="1DE24E96"/>
    <w:rsid w:val="1E6C1D9C"/>
    <w:rsid w:val="1E8A5ADA"/>
    <w:rsid w:val="1FC00BA4"/>
    <w:rsid w:val="1FC25642"/>
    <w:rsid w:val="207B4430"/>
    <w:rsid w:val="207E05FA"/>
    <w:rsid w:val="207F7502"/>
    <w:rsid w:val="20D27DF1"/>
    <w:rsid w:val="20E022E2"/>
    <w:rsid w:val="2159297C"/>
    <w:rsid w:val="217C1549"/>
    <w:rsid w:val="21895C02"/>
    <w:rsid w:val="21A3377D"/>
    <w:rsid w:val="21F065E3"/>
    <w:rsid w:val="221E3807"/>
    <w:rsid w:val="222B3CD6"/>
    <w:rsid w:val="223E3D2F"/>
    <w:rsid w:val="23120D28"/>
    <w:rsid w:val="231C05A6"/>
    <w:rsid w:val="23D03A35"/>
    <w:rsid w:val="24B970CD"/>
    <w:rsid w:val="24DF4CB0"/>
    <w:rsid w:val="24EF1EC5"/>
    <w:rsid w:val="250A0639"/>
    <w:rsid w:val="25987B4A"/>
    <w:rsid w:val="25CF4249"/>
    <w:rsid w:val="262B1DED"/>
    <w:rsid w:val="26774072"/>
    <w:rsid w:val="27A24554"/>
    <w:rsid w:val="28506176"/>
    <w:rsid w:val="291C7581"/>
    <w:rsid w:val="292D78B9"/>
    <w:rsid w:val="29655ACD"/>
    <w:rsid w:val="2A0E2E57"/>
    <w:rsid w:val="2AC82D98"/>
    <w:rsid w:val="2AC92F36"/>
    <w:rsid w:val="2B0F368C"/>
    <w:rsid w:val="2BE521BC"/>
    <w:rsid w:val="2CED3515"/>
    <w:rsid w:val="2CF57956"/>
    <w:rsid w:val="2CF80ADA"/>
    <w:rsid w:val="2D1175AA"/>
    <w:rsid w:val="2D232E8B"/>
    <w:rsid w:val="2D4B2BCC"/>
    <w:rsid w:val="2DD67FBC"/>
    <w:rsid w:val="2DDE4DF1"/>
    <w:rsid w:val="2E4F5B52"/>
    <w:rsid w:val="2E5423C9"/>
    <w:rsid w:val="2E852862"/>
    <w:rsid w:val="2E8C44A4"/>
    <w:rsid w:val="2ED63DAE"/>
    <w:rsid w:val="2F920070"/>
    <w:rsid w:val="2FA85CD6"/>
    <w:rsid w:val="2FBB56EA"/>
    <w:rsid w:val="2FCC0C6E"/>
    <w:rsid w:val="305717B6"/>
    <w:rsid w:val="311F49D2"/>
    <w:rsid w:val="31975292"/>
    <w:rsid w:val="31CF0A5D"/>
    <w:rsid w:val="32113DDD"/>
    <w:rsid w:val="32226E35"/>
    <w:rsid w:val="32544F91"/>
    <w:rsid w:val="32563B3C"/>
    <w:rsid w:val="32B51499"/>
    <w:rsid w:val="32D565D1"/>
    <w:rsid w:val="32DB5EF2"/>
    <w:rsid w:val="335E70E6"/>
    <w:rsid w:val="33D87D7E"/>
    <w:rsid w:val="3413415F"/>
    <w:rsid w:val="346D1CBC"/>
    <w:rsid w:val="34774473"/>
    <w:rsid w:val="34E770F3"/>
    <w:rsid w:val="35AA3AE9"/>
    <w:rsid w:val="35D54B9D"/>
    <w:rsid w:val="36945D34"/>
    <w:rsid w:val="36D63598"/>
    <w:rsid w:val="36F0652C"/>
    <w:rsid w:val="36FC5319"/>
    <w:rsid w:val="373C6391"/>
    <w:rsid w:val="374977D6"/>
    <w:rsid w:val="3757480D"/>
    <w:rsid w:val="375E3FC2"/>
    <w:rsid w:val="3870013B"/>
    <w:rsid w:val="38B16AAF"/>
    <w:rsid w:val="38E17FBF"/>
    <w:rsid w:val="39DE5349"/>
    <w:rsid w:val="39E90411"/>
    <w:rsid w:val="3AC36277"/>
    <w:rsid w:val="3B1220D5"/>
    <w:rsid w:val="3B2C3D25"/>
    <w:rsid w:val="3BB039CA"/>
    <w:rsid w:val="3C077B24"/>
    <w:rsid w:val="3C95430B"/>
    <w:rsid w:val="3D0542A9"/>
    <w:rsid w:val="3DB3264F"/>
    <w:rsid w:val="3DFA001C"/>
    <w:rsid w:val="3E2677C4"/>
    <w:rsid w:val="3EA95DD0"/>
    <w:rsid w:val="3F42799A"/>
    <w:rsid w:val="3FC20FCA"/>
    <w:rsid w:val="4077181C"/>
    <w:rsid w:val="40837CC5"/>
    <w:rsid w:val="40F36ADA"/>
    <w:rsid w:val="411656A7"/>
    <w:rsid w:val="418A0B44"/>
    <w:rsid w:val="41A37CB9"/>
    <w:rsid w:val="42980C9A"/>
    <w:rsid w:val="42A542C4"/>
    <w:rsid w:val="43285D3E"/>
    <w:rsid w:val="438A492C"/>
    <w:rsid w:val="43AD0A89"/>
    <w:rsid w:val="43B7463B"/>
    <w:rsid w:val="446B6756"/>
    <w:rsid w:val="448D0D5E"/>
    <w:rsid w:val="44E569B4"/>
    <w:rsid w:val="458925D9"/>
    <w:rsid w:val="458B155C"/>
    <w:rsid w:val="45D74323"/>
    <w:rsid w:val="45E83AD0"/>
    <w:rsid w:val="46333CC4"/>
    <w:rsid w:val="467710E3"/>
    <w:rsid w:val="477375C7"/>
    <w:rsid w:val="48570EBF"/>
    <w:rsid w:val="486253FD"/>
    <w:rsid w:val="487F466A"/>
    <w:rsid w:val="490A433E"/>
    <w:rsid w:val="49885B5C"/>
    <w:rsid w:val="49CC555F"/>
    <w:rsid w:val="49D25F5D"/>
    <w:rsid w:val="49D53D2D"/>
    <w:rsid w:val="4A4D77BA"/>
    <w:rsid w:val="4A7D5BA6"/>
    <w:rsid w:val="4AF24664"/>
    <w:rsid w:val="4B0000BD"/>
    <w:rsid w:val="4B48076E"/>
    <w:rsid w:val="4B4E2792"/>
    <w:rsid w:val="4BB632B8"/>
    <w:rsid w:val="4BFA7A10"/>
    <w:rsid w:val="4C3972FF"/>
    <w:rsid w:val="4D391A3D"/>
    <w:rsid w:val="4DD51292"/>
    <w:rsid w:val="4E8D29A3"/>
    <w:rsid w:val="4E933484"/>
    <w:rsid w:val="4E9553C8"/>
    <w:rsid w:val="4E9B37F3"/>
    <w:rsid w:val="4F431490"/>
    <w:rsid w:val="4F73439B"/>
    <w:rsid w:val="4FB55C78"/>
    <w:rsid w:val="4FD533B9"/>
    <w:rsid w:val="4FDF5118"/>
    <w:rsid w:val="5011782C"/>
    <w:rsid w:val="506D1992"/>
    <w:rsid w:val="507E25B6"/>
    <w:rsid w:val="50847E00"/>
    <w:rsid w:val="51634F7E"/>
    <w:rsid w:val="51A13730"/>
    <w:rsid w:val="520B41D4"/>
    <w:rsid w:val="520D4419"/>
    <w:rsid w:val="52386CE3"/>
    <w:rsid w:val="53EF7D85"/>
    <w:rsid w:val="53FA6863"/>
    <w:rsid w:val="544473CD"/>
    <w:rsid w:val="548D4A1C"/>
    <w:rsid w:val="54FE1F29"/>
    <w:rsid w:val="56C32EC8"/>
    <w:rsid w:val="57435CB9"/>
    <w:rsid w:val="57952EED"/>
    <w:rsid w:val="57FA73BC"/>
    <w:rsid w:val="581377A6"/>
    <w:rsid w:val="585F37C6"/>
    <w:rsid w:val="59537374"/>
    <w:rsid w:val="59A35BD0"/>
    <w:rsid w:val="59F26179"/>
    <w:rsid w:val="5B3B60A4"/>
    <w:rsid w:val="5B46714E"/>
    <w:rsid w:val="5B5E5416"/>
    <w:rsid w:val="5B794029"/>
    <w:rsid w:val="5C006AA4"/>
    <w:rsid w:val="5C026E80"/>
    <w:rsid w:val="5C1F5633"/>
    <w:rsid w:val="5C5D0EEE"/>
    <w:rsid w:val="5C8247F7"/>
    <w:rsid w:val="5DBA4654"/>
    <w:rsid w:val="5DF20031"/>
    <w:rsid w:val="5E345B18"/>
    <w:rsid w:val="5F2D2E24"/>
    <w:rsid w:val="60D470B0"/>
    <w:rsid w:val="60F2286C"/>
    <w:rsid w:val="61133F18"/>
    <w:rsid w:val="612A7E43"/>
    <w:rsid w:val="61357C86"/>
    <w:rsid w:val="614A23AF"/>
    <w:rsid w:val="61590E72"/>
    <w:rsid w:val="615B0D1E"/>
    <w:rsid w:val="615B5C92"/>
    <w:rsid w:val="61771EE8"/>
    <w:rsid w:val="61C03AA5"/>
    <w:rsid w:val="61DC7A24"/>
    <w:rsid w:val="620D2536"/>
    <w:rsid w:val="62625A67"/>
    <w:rsid w:val="62626C23"/>
    <w:rsid w:val="626A408F"/>
    <w:rsid w:val="628402D0"/>
    <w:rsid w:val="62DA6353"/>
    <w:rsid w:val="63C24B0A"/>
    <w:rsid w:val="63DE5387"/>
    <w:rsid w:val="64014DC5"/>
    <w:rsid w:val="6410508E"/>
    <w:rsid w:val="641D0F13"/>
    <w:rsid w:val="643829A8"/>
    <w:rsid w:val="64431513"/>
    <w:rsid w:val="646C6FE8"/>
    <w:rsid w:val="64C03B57"/>
    <w:rsid w:val="65761FCC"/>
    <w:rsid w:val="65906DEB"/>
    <w:rsid w:val="65C15915"/>
    <w:rsid w:val="65CB08AD"/>
    <w:rsid w:val="65F3029E"/>
    <w:rsid w:val="660D3DB9"/>
    <w:rsid w:val="661012CB"/>
    <w:rsid w:val="662F65D4"/>
    <w:rsid w:val="66A3741E"/>
    <w:rsid w:val="66B614FB"/>
    <w:rsid w:val="66C478CB"/>
    <w:rsid w:val="67F42F2B"/>
    <w:rsid w:val="681E7AD8"/>
    <w:rsid w:val="685C0B24"/>
    <w:rsid w:val="68961AFB"/>
    <w:rsid w:val="6904590E"/>
    <w:rsid w:val="698C591D"/>
    <w:rsid w:val="6A0D0F70"/>
    <w:rsid w:val="6A1A03AA"/>
    <w:rsid w:val="6A394651"/>
    <w:rsid w:val="6A5945F9"/>
    <w:rsid w:val="6AA66486"/>
    <w:rsid w:val="6AA94832"/>
    <w:rsid w:val="6B4E7C02"/>
    <w:rsid w:val="6B533323"/>
    <w:rsid w:val="6B7A7AE3"/>
    <w:rsid w:val="6BCD6096"/>
    <w:rsid w:val="6BED226C"/>
    <w:rsid w:val="6C325E7E"/>
    <w:rsid w:val="6D530806"/>
    <w:rsid w:val="6DCF5B68"/>
    <w:rsid w:val="6E973570"/>
    <w:rsid w:val="6ED00995"/>
    <w:rsid w:val="6F767EFE"/>
    <w:rsid w:val="6FFB0052"/>
    <w:rsid w:val="703C2F5B"/>
    <w:rsid w:val="704F3FE3"/>
    <w:rsid w:val="7056024D"/>
    <w:rsid w:val="70962A58"/>
    <w:rsid w:val="71160067"/>
    <w:rsid w:val="71382591"/>
    <w:rsid w:val="71C13224"/>
    <w:rsid w:val="71F91A05"/>
    <w:rsid w:val="72181D1E"/>
    <w:rsid w:val="72412981"/>
    <w:rsid w:val="7251629D"/>
    <w:rsid w:val="72516DE5"/>
    <w:rsid w:val="73176CA4"/>
    <w:rsid w:val="735502A4"/>
    <w:rsid w:val="735D191F"/>
    <w:rsid w:val="736A23E7"/>
    <w:rsid w:val="73803BE2"/>
    <w:rsid w:val="740B1955"/>
    <w:rsid w:val="74833A17"/>
    <w:rsid w:val="74AE0429"/>
    <w:rsid w:val="74CA3CE3"/>
    <w:rsid w:val="74CC4F09"/>
    <w:rsid w:val="75237E76"/>
    <w:rsid w:val="755C32F4"/>
    <w:rsid w:val="758F565B"/>
    <w:rsid w:val="76164B6D"/>
    <w:rsid w:val="76362AC9"/>
    <w:rsid w:val="76D02233"/>
    <w:rsid w:val="79311880"/>
    <w:rsid w:val="7A022E0D"/>
    <w:rsid w:val="7A826731"/>
    <w:rsid w:val="7AF30168"/>
    <w:rsid w:val="7B1633FD"/>
    <w:rsid w:val="7B5675BC"/>
    <w:rsid w:val="7C0619D3"/>
    <w:rsid w:val="7C35538A"/>
    <w:rsid w:val="7C7C41DC"/>
    <w:rsid w:val="7CCB2628"/>
    <w:rsid w:val="7D4B6CF2"/>
    <w:rsid w:val="7DC86131"/>
    <w:rsid w:val="7DC90FFE"/>
    <w:rsid w:val="7DCD64E1"/>
    <w:rsid w:val="7DEA337D"/>
    <w:rsid w:val="7E834979"/>
    <w:rsid w:val="7ED73662"/>
    <w:rsid w:val="7EDB6AD5"/>
    <w:rsid w:val="7F1A4A92"/>
    <w:rsid w:val="7F57674C"/>
    <w:rsid w:val="7F654BFE"/>
    <w:rsid w:val="7FB06742"/>
    <w:rsid w:val="7FB72AE3"/>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2"/>
    <w:qFormat/>
    <w:uiPriority w:val="0"/>
    <w:rPr>
      <w:rFonts w:ascii="仿宋_GB2312" w:hAnsi="Times New Roman" w:eastAsia="仿宋_GB2312" w:cs="Times New Roman"/>
      <w:sz w:val="28"/>
      <w:szCs w:val="20"/>
    </w:rPr>
  </w:style>
  <w:style w:type="character" w:customStyle="1" w:styleId="94">
    <w:name w:val="标题 2 Char"/>
    <w:link w:val="3"/>
    <w:qFormat/>
    <w:uiPriority w:val="0"/>
    <w:rPr>
      <w:rFonts w:ascii="Arial" w:hAnsi="Arial" w:eastAsia="黑体" w:cs="Times New Roman"/>
      <w:b/>
      <w:bCs/>
      <w:sz w:val="32"/>
      <w:szCs w:val="32"/>
    </w:rPr>
  </w:style>
  <w:style w:type="character" w:customStyle="1" w:styleId="95">
    <w:name w:val="标题 3 Char"/>
    <w:link w:val="4"/>
    <w:qFormat/>
    <w:uiPriority w:val="0"/>
    <w:rPr>
      <w:rFonts w:ascii="Times New Roman" w:hAnsi="Times New Roman" w:eastAsia="宋体" w:cs="Times New Roman"/>
      <w:b/>
      <w:sz w:val="32"/>
      <w:szCs w:val="20"/>
    </w:rPr>
  </w:style>
  <w:style w:type="character" w:customStyle="1" w:styleId="96">
    <w:name w:val="正文文本 Char"/>
    <w:link w:val="17"/>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5"/>
    <w:qFormat/>
    <w:uiPriority w:val="0"/>
    <w:rPr>
      <w:rFonts w:ascii="宋体" w:hAnsi="Arial" w:eastAsia="宋体" w:cs="Times New Roman"/>
      <w:snapToGrid w:val="0"/>
      <w:color w:val="000000"/>
      <w:kern w:val="0"/>
      <w:szCs w:val="20"/>
    </w:rPr>
  </w:style>
  <w:style w:type="character" w:customStyle="1" w:styleId="99">
    <w:name w:val="标题 5 Char"/>
    <w:link w:val="7"/>
    <w:qFormat/>
    <w:uiPriority w:val="0"/>
    <w:rPr>
      <w:rFonts w:ascii="Times New Roman" w:hAnsi="Times New Roman" w:eastAsia="宋体" w:cs="Times New Roman"/>
      <w:b/>
      <w:bCs/>
      <w:sz w:val="28"/>
      <w:szCs w:val="28"/>
    </w:rPr>
  </w:style>
  <w:style w:type="character" w:customStyle="1" w:styleId="100">
    <w:name w:val="标题 6 Char"/>
    <w:link w:val="8"/>
    <w:qFormat/>
    <w:uiPriority w:val="0"/>
    <w:rPr>
      <w:rFonts w:ascii="Arial" w:hAnsi="Arial" w:eastAsia="黑体" w:cs="Times New Roman"/>
      <w:b/>
      <w:bCs/>
      <w:sz w:val="24"/>
      <w:szCs w:val="24"/>
    </w:rPr>
  </w:style>
  <w:style w:type="character" w:customStyle="1" w:styleId="101">
    <w:name w:val="标题 7 Char"/>
    <w:link w:val="9"/>
    <w:qFormat/>
    <w:uiPriority w:val="0"/>
    <w:rPr>
      <w:rFonts w:ascii="Times New Roman" w:hAnsi="Times New Roman" w:eastAsia="宋体" w:cs="Times New Roman"/>
      <w:b/>
      <w:bCs/>
      <w:sz w:val="24"/>
      <w:szCs w:val="24"/>
    </w:rPr>
  </w:style>
  <w:style w:type="character" w:customStyle="1" w:styleId="102">
    <w:name w:val="标题 8 Char"/>
    <w:link w:val="10"/>
    <w:qFormat/>
    <w:uiPriority w:val="0"/>
    <w:rPr>
      <w:rFonts w:ascii="Arial" w:hAnsi="Arial" w:eastAsia="黑体" w:cs="Times New Roman"/>
      <w:sz w:val="24"/>
      <w:szCs w:val="24"/>
    </w:rPr>
  </w:style>
  <w:style w:type="character" w:customStyle="1" w:styleId="103">
    <w:name w:val="标题 9 Char"/>
    <w:link w:val="11"/>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5"/>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3"/>
    <w:qFormat/>
    <w:uiPriority w:val="0"/>
    <w:rPr>
      <w:rFonts w:ascii="宋体" w:hAnsi="Times New Roman" w:eastAsia="宋体" w:cs="Times New Roman"/>
      <w:sz w:val="18"/>
      <w:szCs w:val="18"/>
    </w:rPr>
  </w:style>
  <w:style w:type="character" w:customStyle="1" w:styleId="118">
    <w:name w:val="批注文字 Char"/>
    <w:link w:val="14"/>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6"/>
    <w:qFormat/>
    <w:uiPriority w:val="0"/>
    <w:rPr>
      <w:rFonts w:ascii="Times New Roman" w:hAnsi="Times New Roman" w:eastAsia="宋体" w:cs="Times New Roman"/>
      <w:sz w:val="24"/>
      <w:szCs w:val="20"/>
    </w:rPr>
  </w:style>
  <w:style w:type="character" w:customStyle="1" w:styleId="121">
    <w:name w:val="font51"/>
    <w:qFormat/>
    <w:uiPriority w:val="0"/>
    <w:rPr>
      <w:rFonts w:hint="default" w:ascii="Arial" w:hAnsi="Arial" w:cs="Arial"/>
      <w:color w:val="000000"/>
      <w:sz w:val="20"/>
      <w:szCs w:val="20"/>
      <w:u w:val="none"/>
    </w:rPr>
  </w:style>
  <w:style w:type="character" w:customStyle="1" w:styleId="122">
    <w:name w:val="font6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45</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2022-07-27T00:49:41Z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